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F" w:rsidRPr="00A249FF" w:rsidRDefault="00A249FF" w:rsidP="00A249FF">
      <w:pPr>
        <w:widowControl/>
        <w:spacing w:line="272" w:lineRule="atLeast"/>
        <w:jc w:val="center"/>
        <w:textAlignment w:val="baseline"/>
        <w:rPr>
          <w:rFonts w:ascii="Verdana" w:hAnsi="Verdana" w:cs="新細明體"/>
          <w:b/>
          <w:bCs/>
          <w:color w:val="000080"/>
          <w:kern w:val="0"/>
          <w:sz w:val="32"/>
          <w:szCs w:val="32"/>
          <w:bdr w:val="none" w:sz="0" w:space="0" w:color="auto" w:frame="1"/>
        </w:rPr>
      </w:pPr>
      <w:r w:rsidRPr="00A249FF">
        <w:rPr>
          <w:rFonts w:ascii="Helvetica" w:hAnsi="Helvetica" w:cs="Helvetica"/>
          <w:color w:val="333333"/>
          <w:sz w:val="32"/>
          <w:szCs w:val="32"/>
        </w:rPr>
        <w:t>預防再度中風的藥物</w:t>
      </w:r>
    </w:p>
    <w:p w:rsidR="00A249FF" w:rsidRPr="00A249FF" w:rsidRDefault="00A249FF" w:rsidP="00A249FF">
      <w:pPr>
        <w:widowControl/>
        <w:spacing w:line="272" w:lineRule="atLeast"/>
        <w:textAlignment w:val="baseline"/>
        <w:rPr>
          <w:rFonts w:ascii="Verdana" w:hAnsi="Verdana" w:cs="新細明體"/>
          <w:color w:val="000000"/>
          <w:kern w:val="0"/>
          <w:sz w:val="18"/>
          <w:szCs w:val="18"/>
        </w:rPr>
      </w:pPr>
      <w:r w:rsidRPr="00A249FF">
        <w:rPr>
          <w:rFonts w:ascii="Verdana" w:hAnsi="Verdana" w:cs="新細明體"/>
          <w:b/>
          <w:bCs/>
          <w:color w:val="000080"/>
          <w:kern w:val="0"/>
          <w:sz w:val="18"/>
          <w:szCs w:val="18"/>
          <w:bdr w:val="none" w:sz="0" w:space="0" w:color="auto" w:frame="1"/>
        </w:rPr>
        <w:t>1.</w:t>
      </w:r>
      <w:r w:rsidRPr="00A249FF">
        <w:rPr>
          <w:rFonts w:ascii="Verdana" w:hAnsi="Verdana" w:cs="新細明體"/>
          <w:b/>
          <w:bCs/>
          <w:color w:val="000080"/>
          <w:kern w:val="0"/>
          <w:sz w:val="18"/>
          <w:szCs w:val="18"/>
          <w:bdr w:val="none" w:sz="0" w:space="0" w:color="auto" w:frame="1"/>
        </w:rPr>
        <w:t>抗血小板藥物</w:t>
      </w:r>
    </w:p>
    <w:p w:rsidR="00A249FF" w:rsidRPr="00A249FF" w:rsidRDefault="00A249FF" w:rsidP="00A249FF">
      <w:pPr>
        <w:widowControl/>
        <w:spacing w:line="272" w:lineRule="atLeast"/>
        <w:textAlignment w:val="baseline"/>
        <w:rPr>
          <w:rFonts w:ascii="Verdana" w:hAnsi="Verdana" w:cs="新細明體"/>
          <w:color w:val="000000"/>
          <w:kern w:val="0"/>
          <w:sz w:val="18"/>
          <w:szCs w:val="18"/>
        </w:rPr>
      </w:pPr>
      <w:r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</w:rPr>
        <w:t>-Aspirin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(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阿斯匹靈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 xml:space="preserve">) 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：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Aspirin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的作用主要是抑制血小板凝集與血管收縮的作用，防止血栓與動脈硬化的形成。對於已經發生缺血性腦血管或心血管疾病的患者，每日服用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75~150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毫克的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Aspirin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，心血管疾病再發生率顯著降低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25~30%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，在台灣一般的使用劑量為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100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毫克。現在有些廠牌為了降低阿斯匹靈對腸胃的刺激性，將藥物設計</w:t>
      </w:r>
      <w:proofErr w:type="gram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成腸溶</w:t>
      </w:r>
      <w:proofErr w:type="gram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微粒劑型，因此服藥時需注意</w:t>
      </w:r>
      <w:proofErr w:type="gram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應整粒</w:t>
      </w:r>
      <w:proofErr w:type="gram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吞服，不可咀嚼或磨粉。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 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br/>
      </w:r>
      <w:r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</w:rPr>
        <w:t>-</w:t>
      </w:r>
      <w:proofErr w:type="spellStart"/>
      <w:r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</w:rPr>
        <w:t>Clopidogrel</w:t>
      </w:r>
      <w:proofErr w:type="spell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：為血小板凝集抑制劑，在預防血管事故上較</w:t>
      </w:r>
      <w:proofErr w:type="gram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阿斯匹靈稍佳</w:t>
      </w:r>
      <w:proofErr w:type="gram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，對阿斯匹靈有禁忌症或產生不良影響的病人，可以選用這藥物。對於有更高風險（即曾經中風、周邊動脈病變、病徵性冠心病和糖尿病）和冠狀動脈手術後的病人，服用</w:t>
      </w:r>
      <w:proofErr w:type="spell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Clopidogrel</w:t>
      </w:r>
      <w:proofErr w:type="spell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可能比阿斯匹靈有效。服用</w:t>
      </w:r>
      <w:proofErr w:type="spell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Clopidogrel</w:t>
      </w:r>
      <w:proofErr w:type="spell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可能發生腸胃道的不良反應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(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如腹痛、消化不良、胃炎和便秘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)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、皮膚紅疹等副作用。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 xml:space="preserve"> 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但目前健保規定</w:t>
      </w:r>
      <w:proofErr w:type="spell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Clopidogrel</w:t>
      </w:r>
      <w:proofErr w:type="spell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僅能使用在對阿</w:t>
      </w:r>
      <w:proofErr w:type="gram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斯匹林</w:t>
      </w:r>
      <w:proofErr w:type="gram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過敏或</w:t>
      </w:r>
      <w:proofErr w:type="gram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一</w:t>
      </w:r>
      <w:proofErr w:type="gram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年內有胃鏡檢查證實有消化道潰瘍的患者方能使用。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br/>
      </w:r>
      <w:r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</w:rPr>
        <w:t>-</w:t>
      </w:r>
      <w:proofErr w:type="spellStart"/>
      <w:r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</w:rPr>
        <w:t>Ticlopidine</w:t>
      </w:r>
      <w:proofErr w:type="spell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：和</w:t>
      </w:r>
      <w:proofErr w:type="spell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Clopidogrel</w:t>
      </w:r>
      <w:proofErr w:type="spell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之作用機轉相同，但</w:t>
      </w:r>
      <w:proofErr w:type="spell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Ticlopidine</w:t>
      </w:r>
      <w:proofErr w:type="spell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會有顆粒球減少症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(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初期症狀：發熱、咽喉痛、倦怠感等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)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、再生不良性貧血、血小板減少症、腦出血、消化道出血、黃疸等嚴重副作用。因此使用</w:t>
      </w:r>
      <w:proofErr w:type="spell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Ticlopidine</w:t>
      </w:r>
      <w:proofErr w:type="spell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的患者須於前三</w:t>
      </w:r>
      <w:proofErr w:type="gram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個</w:t>
      </w:r>
      <w:proofErr w:type="gram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月內每兩</w:t>
      </w:r>
      <w:proofErr w:type="gram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週</w:t>
      </w:r>
      <w:proofErr w:type="gram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做一次血液監測。對於出血患者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(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血友病、微血管脆弱症、消化管潰瘍、尿路出血、</w:t>
      </w:r>
      <w:proofErr w:type="gram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喀血</w:t>
      </w:r>
      <w:proofErr w:type="gram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、晶狀體出血等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)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、嚴重肝病患者、白血球減少症患者、服用</w:t>
      </w:r>
      <w:proofErr w:type="spell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ticlopidine</w:t>
      </w:r>
      <w:proofErr w:type="spell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引起白血球減少症與過敏患者應禁止服用。因副作用較大，通常不建議做第一線的抗血小板藥物使用。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br/>
      </w:r>
      <w:r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</w:rPr>
        <w:t>-</w:t>
      </w:r>
      <w:proofErr w:type="spellStart"/>
      <w:r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</w:rPr>
        <w:t>Dipyridamole</w:t>
      </w:r>
      <w:proofErr w:type="spell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：可抑制血小板凝集，也具有血管擴張作用。副作用通常是暫時且輕微，主要是頭痛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(10%)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，另外服藥期間須注意低血壓發生，由平躺或坐姿起立時應緩和改變姿勢，以免造成眩暈、頭痛或昏倒。通常建議作為無法使用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Aspirin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患者的用藥選擇。</w:t>
      </w:r>
    </w:p>
    <w:p w:rsidR="00DD2E21" w:rsidRPr="00DD2E21" w:rsidRDefault="00A249FF" w:rsidP="00A249FF">
      <w:pPr>
        <w:widowControl/>
        <w:spacing w:line="272" w:lineRule="atLeast"/>
        <w:textAlignment w:val="baseline"/>
        <w:rPr>
          <w:rFonts w:ascii="Verdana" w:hAnsi="Verdana" w:cs="新細明體"/>
          <w:color w:val="000000"/>
          <w:kern w:val="0"/>
          <w:sz w:val="18"/>
          <w:szCs w:val="18"/>
        </w:rPr>
      </w:pPr>
      <w:r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</w:rPr>
        <w:t>-</w:t>
      </w:r>
      <w:proofErr w:type="spellStart"/>
      <w:r w:rsidR="00DD2E21" w:rsidRPr="00136845">
        <w:rPr>
          <w:rFonts w:ascii="Verdana" w:hAnsi="Verdana" w:cs="新細明體"/>
          <w:b/>
          <w:bCs/>
          <w:color w:val="000000"/>
          <w:kern w:val="0"/>
          <w:sz w:val="18"/>
          <w:szCs w:val="18"/>
        </w:rPr>
        <w:t>Pletaal</w:t>
      </w:r>
      <w:proofErr w:type="spellEnd"/>
      <w:r w:rsidR="00DD2E21">
        <w:rPr>
          <w:rFonts w:ascii="Arial" w:hAnsi="Arial" w:cs="Arial"/>
          <w:color w:val="000000"/>
          <w:sz w:val="20"/>
          <w:szCs w:val="20"/>
        </w:rPr>
        <w:t>：</w:t>
      </w:r>
      <w:r w:rsidR="00DD2E21" w:rsidRPr="00DD2E21">
        <w:rPr>
          <w:rFonts w:ascii="Verdana" w:hAnsi="Verdana" w:cs="新細明體"/>
          <w:color w:val="000000"/>
          <w:kern w:val="0"/>
          <w:sz w:val="18"/>
          <w:szCs w:val="18"/>
        </w:rPr>
        <w:t>無法耐受</w:t>
      </w:r>
      <w:r w:rsidR="00DD2E21" w:rsidRPr="00DD2E21">
        <w:rPr>
          <w:rFonts w:ascii="Verdana" w:hAnsi="Verdana" w:cs="新細明體"/>
          <w:color w:val="000000"/>
          <w:kern w:val="0"/>
          <w:sz w:val="18"/>
          <w:szCs w:val="18"/>
        </w:rPr>
        <w:t>aspirin</w:t>
      </w:r>
      <w:r w:rsidR="00DD2E21" w:rsidRPr="00DD2E21">
        <w:rPr>
          <w:rFonts w:ascii="Verdana" w:hAnsi="Verdana" w:cs="新細明體"/>
          <w:color w:val="000000"/>
          <w:kern w:val="0"/>
          <w:sz w:val="18"/>
          <w:szCs w:val="18"/>
        </w:rPr>
        <w:t>且屬非心因性栓塞之腦梗塞患者，以預防腦梗塞之再復發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。</w:t>
      </w:r>
      <w:r w:rsidR="00FA4EF3">
        <w:rPr>
          <w:rFonts w:ascii="Verdana" w:hAnsi="Verdana" w:cs="新細明體" w:hint="eastAsia"/>
          <w:color w:val="000000"/>
          <w:kern w:val="0"/>
          <w:sz w:val="18"/>
          <w:szCs w:val="18"/>
        </w:rPr>
        <w:t>需空腹無用，</w:t>
      </w:r>
      <w:r w:rsidR="00FA4EF3">
        <w:rPr>
          <w:rFonts w:ascii="inherit" w:hAnsi="inherit" w:cs="Helvetica"/>
          <w:vanish/>
          <w:color w:val="333333"/>
          <w:sz w:val="25"/>
          <w:szCs w:val="25"/>
        </w:rPr>
        <w:t>空腹服用空腹服用</w:t>
      </w:r>
      <w:r w:rsidR="00DD2E21">
        <w:rPr>
          <w:rFonts w:ascii="Verdana" w:hAnsi="Verdana" w:cs="新細明體" w:hint="eastAsia"/>
          <w:color w:val="000000"/>
          <w:kern w:val="0"/>
          <w:sz w:val="18"/>
          <w:szCs w:val="18"/>
        </w:rPr>
        <w:t>主</w:t>
      </w:r>
      <w:r w:rsidR="00FA4EF3">
        <w:rPr>
          <w:rFonts w:ascii="Verdana" w:hAnsi="Verdana" w:cs="新細明體" w:hint="eastAsia"/>
          <w:color w:val="000000"/>
          <w:kern w:val="0"/>
          <w:sz w:val="18"/>
          <w:szCs w:val="18"/>
        </w:rPr>
        <w:t>要</w:t>
      </w:r>
      <w:r w:rsidR="00DD2E21">
        <w:rPr>
          <w:rFonts w:ascii="Verdana" w:hAnsi="Verdana" w:cs="新細明體" w:hint="eastAsia"/>
          <w:color w:val="000000"/>
          <w:kern w:val="0"/>
          <w:sz w:val="18"/>
          <w:szCs w:val="18"/>
        </w:rPr>
        <w:t>副作用為</w:t>
      </w:r>
      <w:r w:rsidR="00DD2E21" w:rsidRPr="00DD2E21">
        <w:rPr>
          <w:rFonts w:ascii="Verdana" w:hAnsi="Verdana" w:cs="新細明體"/>
          <w:color w:val="000000"/>
          <w:kern w:val="0"/>
          <w:sz w:val="18"/>
          <w:szCs w:val="18"/>
        </w:rPr>
        <w:t>頭痛、頭暈、心悸、腹瀉等。抽煙可能會使您的病情惡化，因香菸中的尼古丁會使末稍血管收縮，減少末稍血液循環</w:t>
      </w:r>
      <w:r w:rsidR="00FA4EF3">
        <w:rPr>
          <w:rFonts w:ascii="Verdana" w:hAnsi="Verdana" w:cs="新細明體"/>
          <w:color w:val="000000"/>
          <w:kern w:val="0"/>
          <w:sz w:val="18"/>
          <w:szCs w:val="18"/>
        </w:rPr>
        <w:t>，</w:t>
      </w:r>
      <w:r w:rsidR="00DD2E21" w:rsidRPr="00DD2E21">
        <w:rPr>
          <w:rFonts w:ascii="Verdana" w:hAnsi="Verdana" w:cs="新細明體"/>
          <w:color w:val="000000"/>
          <w:kern w:val="0"/>
          <w:sz w:val="18"/>
          <w:szCs w:val="18"/>
        </w:rPr>
        <w:t>因此，服用此藥期間最好能避免抽煙。</w:t>
      </w:r>
      <w:r w:rsidR="00FA4EF3">
        <w:rPr>
          <w:rFonts w:ascii="inherit" w:hAnsi="inherit" w:cs="Helvetica"/>
          <w:vanish/>
          <w:color w:val="333333"/>
          <w:sz w:val="25"/>
          <w:szCs w:val="25"/>
        </w:rPr>
        <w:t>空腹服用</w:t>
      </w:r>
    </w:p>
    <w:p w:rsidR="00A249FF" w:rsidRPr="00A249FF" w:rsidRDefault="00DD2E21" w:rsidP="00A249FF">
      <w:pPr>
        <w:widowControl/>
        <w:spacing w:line="272" w:lineRule="atLeast"/>
        <w:textAlignment w:val="baseline"/>
        <w:rPr>
          <w:rFonts w:ascii="Verdana" w:hAnsi="Verdana" w:cs="新細明體"/>
          <w:color w:val="000000"/>
          <w:kern w:val="0"/>
          <w:sz w:val="18"/>
          <w:szCs w:val="18"/>
        </w:rPr>
      </w:pPr>
      <w:r>
        <w:rPr>
          <w:rFonts w:ascii="inherit" w:hAnsi="inherit" w:cs="Helvetica"/>
          <w:vanish/>
          <w:color w:val="333333"/>
          <w:sz w:val="25"/>
          <w:szCs w:val="25"/>
        </w:rPr>
        <w:t>抽煙可能會使您的病情惡化，因香菸中的尼古丁會使末稍血管收縮，減少末稍血液循環。因此，服用此藥期間最好能避免抽煙。抽煙可能會使您的病情惡化，因香菸中的尼古丁會使末稍血管收縮，減少末稍血液循環。因此，服用此藥期間最好能避免抽煙。抽煙可能會使您的病情惡化，因香菸中的尼古丁會使末稍血管收縮，減少末稍血液循環。因此，服用此藥期間最好能避免抽煙。空腹服用</w:t>
      </w:r>
      <w:r w:rsidR="00A249FF" w:rsidRPr="00A249FF">
        <w:rPr>
          <w:rFonts w:ascii="Verdana" w:hAnsi="Verdana" w:cs="新細明體"/>
          <w:color w:val="000000"/>
          <w:kern w:val="0"/>
          <w:sz w:val="18"/>
          <w:szCs w:val="18"/>
        </w:rPr>
        <w:br/>
      </w:r>
      <w:r w:rsidR="00A249FF"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</w:rPr>
        <w:t>綜觀上述抗血小板藥物，服藥期間需特別注意下列幾點：</w:t>
      </w:r>
    </w:p>
    <w:p w:rsidR="00A249FF" w:rsidRPr="00A249FF" w:rsidRDefault="00A249FF" w:rsidP="00A249FF">
      <w:pPr>
        <w:widowControl/>
        <w:spacing w:line="272" w:lineRule="atLeast"/>
        <w:textAlignment w:val="baseline"/>
        <w:rPr>
          <w:rFonts w:ascii="Verdana" w:hAnsi="Verdana" w:cs="新細明體"/>
          <w:color w:val="000000"/>
          <w:kern w:val="0"/>
          <w:sz w:val="18"/>
          <w:szCs w:val="18"/>
        </w:rPr>
      </w:pP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 xml:space="preserve">(1) 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若</w:t>
      </w:r>
      <w:proofErr w:type="gram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發生黑便</w:t>
      </w:r>
      <w:proofErr w:type="gram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、血便、不正常出血時，請馬上和醫師聯絡。</w:t>
      </w:r>
    </w:p>
    <w:p w:rsidR="00A249FF" w:rsidRPr="00A249FF" w:rsidRDefault="00A249FF" w:rsidP="00A249FF">
      <w:pPr>
        <w:widowControl/>
        <w:spacing w:line="272" w:lineRule="atLeast"/>
        <w:textAlignment w:val="baseline"/>
        <w:rPr>
          <w:rFonts w:ascii="Verdana" w:hAnsi="Verdana" w:cs="新細明體"/>
          <w:color w:val="000000"/>
          <w:kern w:val="0"/>
          <w:sz w:val="18"/>
          <w:szCs w:val="18"/>
        </w:rPr>
      </w:pP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 xml:space="preserve">(2) 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如果您欲接受手術或拔牙時，請告訴醫師您正在服用抗血小板藥物。</w:t>
      </w:r>
    </w:p>
    <w:p w:rsidR="00A249FF" w:rsidRPr="00A249FF" w:rsidRDefault="00A249FF" w:rsidP="00A249FF">
      <w:pPr>
        <w:widowControl/>
        <w:spacing w:line="272" w:lineRule="atLeast"/>
        <w:textAlignment w:val="baseline"/>
        <w:rPr>
          <w:rFonts w:ascii="Verdana" w:hAnsi="Verdana" w:cs="新細明體"/>
          <w:color w:val="000000"/>
          <w:kern w:val="0"/>
          <w:sz w:val="18"/>
          <w:szCs w:val="18"/>
        </w:rPr>
      </w:pP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 xml:space="preserve">(3) 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應避免喝酒，因為酒精會增加引起胃出血機率。</w:t>
      </w:r>
    </w:p>
    <w:p w:rsidR="00A249FF" w:rsidRPr="00A249FF" w:rsidRDefault="00A249FF" w:rsidP="00A249FF">
      <w:pPr>
        <w:widowControl/>
        <w:spacing w:line="272" w:lineRule="atLeast"/>
        <w:textAlignment w:val="baseline"/>
        <w:rPr>
          <w:rFonts w:ascii="Verdana" w:hAnsi="Verdana" w:cs="新細明體"/>
          <w:color w:val="000000"/>
          <w:kern w:val="0"/>
          <w:sz w:val="18"/>
          <w:szCs w:val="18"/>
        </w:rPr>
      </w:pP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 xml:space="preserve">(4) 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請依照醫師處方的用法與用量固定時間服藥，不可隨意增減藥量或停藥。</w:t>
      </w:r>
    </w:p>
    <w:p w:rsidR="00A249FF" w:rsidRPr="00A249FF" w:rsidRDefault="00A249FF" w:rsidP="00A249FF">
      <w:pPr>
        <w:widowControl/>
        <w:spacing w:line="272" w:lineRule="atLeast"/>
        <w:textAlignment w:val="baseline"/>
        <w:rPr>
          <w:rFonts w:ascii="Verdana" w:hAnsi="Verdana" w:cs="新細明體"/>
          <w:color w:val="000000"/>
          <w:kern w:val="0"/>
          <w:sz w:val="18"/>
          <w:szCs w:val="18"/>
        </w:rPr>
      </w:pP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 xml:space="preserve">(5) 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忘記服藥時應</w:t>
      </w:r>
      <w:proofErr w:type="gram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立即補吃</w:t>
      </w:r>
      <w:proofErr w:type="gram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，若已接近下一次服用時間就不</w:t>
      </w:r>
      <w:proofErr w:type="gram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需補吃</w:t>
      </w:r>
      <w:proofErr w:type="gram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，並於下一次正確的時間服用一次的藥量。請不要服用雙倍藥量，以免發生過量</w:t>
      </w:r>
    </w:p>
    <w:p w:rsidR="00A249FF" w:rsidRPr="00A249FF" w:rsidRDefault="00A249FF" w:rsidP="00A249FF">
      <w:pPr>
        <w:widowControl/>
        <w:spacing w:after="240" w:line="272" w:lineRule="atLeast"/>
        <w:textAlignment w:val="baseline"/>
        <w:rPr>
          <w:rFonts w:ascii="Verdana" w:hAnsi="Verdana" w:cs="新細明體"/>
          <w:color w:val="000000"/>
          <w:kern w:val="0"/>
          <w:sz w:val="18"/>
          <w:szCs w:val="18"/>
        </w:rPr>
      </w:pP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的危險。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br/>
      </w:r>
    </w:p>
    <w:p w:rsidR="00A249FF" w:rsidRPr="00A249FF" w:rsidRDefault="00A249FF" w:rsidP="00A249FF">
      <w:pPr>
        <w:widowControl/>
        <w:spacing w:line="272" w:lineRule="atLeast"/>
        <w:textAlignment w:val="baseline"/>
        <w:rPr>
          <w:rFonts w:ascii="Verdana" w:hAnsi="Verdana" w:cs="新細明體"/>
          <w:color w:val="000000"/>
          <w:kern w:val="0"/>
          <w:sz w:val="18"/>
          <w:szCs w:val="18"/>
        </w:rPr>
      </w:pPr>
      <w:r w:rsidRPr="00A249FF">
        <w:rPr>
          <w:rFonts w:ascii="Verdana" w:hAnsi="Verdana" w:cs="新細明體"/>
          <w:b/>
          <w:bCs/>
          <w:color w:val="000080"/>
          <w:kern w:val="0"/>
          <w:sz w:val="18"/>
          <w:szCs w:val="18"/>
          <w:bdr w:val="none" w:sz="0" w:space="0" w:color="auto" w:frame="1"/>
        </w:rPr>
        <w:lastRenderedPageBreak/>
        <w:t>2.</w:t>
      </w:r>
      <w:r w:rsidRPr="00A249FF">
        <w:rPr>
          <w:rFonts w:ascii="Verdana" w:hAnsi="Verdana" w:cs="新細明體"/>
          <w:b/>
          <w:bCs/>
          <w:color w:val="000080"/>
          <w:kern w:val="0"/>
          <w:sz w:val="18"/>
          <w:szCs w:val="18"/>
          <w:bdr w:val="none" w:sz="0" w:space="0" w:color="auto" w:frame="1"/>
        </w:rPr>
        <w:t>抗凝血藥物</w:t>
      </w:r>
    </w:p>
    <w:p w:rsidR="00A249FF" w:rsidRPr="00A249FF" w:rsidRDefault="00A249FF" w:rsidP="00A249FF">
      <w:pPr>
        <w:widowControl/>
        <w:spacing w:line="272" w:lineRule="atLeast"/>
        <w:textAlignment w:val="baseline"/>
        <w:rPr>
          <w:rFonts w:ascii="Verdana" w:hAnsi="Verdana" w:cs="新細明體"/>
          <w:color w:val="000000"/>
          <w:kern w:val="0"/>
          <w:sz w:val="18"/>
          <w:szCs w:val="18"/>
        </w:rPr>
      </w:pP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有五分之一的腦梗塞是因為心臟內產生血栓，隨血液流到腦部動脈而導致梗塞性中風，其中最常見的心因性血栓原因是心房顫動，超過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80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歲的腦中風患者有三分之一與心房顫動有關。</w:t>
      </w:r>
    </w:p>
    <w:p w:rsidR="00A249FF" w:rsidRPr="00A249FF" w:rsidRDefault="00A249FF" w:rsidP="00A249FF">
      <w:pPr>
        <w:widowControl/>
        <w:spacing w:line="272" w:lineRule="atLeast"/>
        <w:textAlignment w:val="baseline"/>
        <w:rPr>
          <w:rFonts w:ascii="Verdana" w:hAnsi="Verdana" w:cs="新細明體"/>
          <w:color w:val="000000"/>
          <w:kern w:val="0"/>
          <w:sz w:val="18"/>
          <w:szCs w:val="18"/>
        </w:rPr>
      </w:pPr>
      <w:r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</w:rPr>
        <w:t>-</w:t>
      </w:r>
      <w:proofErr w:type="spellStart"/>
      <w:r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</w:rPr>
        <w:t>Warfarin</w:t>
      </w:r>
      <w:proofErr w:type="spellEnd"/>
      <w:r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</w:rPr>
        <w:t> </w:t>
      </w:r>
      <w:r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  <w:bdr w:val="none" w:sz="0" w:space="0" w:color="auto" w:frame="1"/>
        </w:rPr>
        <w:t>TAB 5mg</w:t>
      </w:r>
      <w:r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</w:rPr>
        <w:t>或</w:t>
      </w:r>
      <w:r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  <w:bdr w:val="none" w:sz="0" w:space="0" w:color="auto" w:frame="1"/>
        </w:rPr>
        <w:t>COFaRin</w:t>
      </w:r>
      <w:proofErr w:type="spellEnd"/>
      <w:r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  <w:bdr w:val="none" w:sz="0" w:space="0" w:color="auto" w:frame="1"/>
        </w:rPr>
        <w:t xml:space="preserve"> TAB 1mg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 </w:t>
      </w:r>
      <w:r w:rsidRPr="00A249FF">
        <w:rPr>
          <w:rFonts w:ascii="Verdana" w:hAnsi="Verdana" w:cs="新細明體"/>
          <w:b/>
          <w:bCs/>
          <w:color w:val="000000"/>
          <w:kern w:val="0"/>
          <w:sz w:val="18"/>
          <w:szCs w:val="18"/>
        </w:rPr>
        <w:t>：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預防心因性血栓導致的中風，以抗凝血藥物的效果最好。對於有心房顫動且</w:t>
      </w:r>
      <w:proofErr w:type="gram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發生過缺血性</w:t>
      </w:r>
      <w:proofErr w:type="gram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腦血管疾病患者，使用</w:t>
      </w:r>
      <w:proofErr w:type="spell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Warfarin</w:t>
      </w:r>
      <w:proofErr w:type="spell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可預防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 xml:space="preserve">68% 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的腦中風發生。使用</w:t>
      </w:r>
      <w:proofErr w:type="spell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Warfarin</w:t>
      </w:r>
      <w:proofErr w:type="spell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要很小心，劑量過高易發生出血的副作用。因此服藥期間請定期抽血監測您的凝血時間，現今多以檢測血液的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INR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值為參考，理想的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INR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值應控制在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1.5~2.5</w:t>
      </w:r>
      <w:proofErr w:type="gram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之間，</w:t>
      </w:r>
      <w:proofErr w:type="gram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太低則藥效不夠，太高則易出血。若服藥期間發生牙齦出血、瘀血、傷口出血不止、血尿或血便等現象時，應馬上與醫師聯絡，做適當的處置。</w:t>
      </w:r>
    </w:p>
    <w:p w:rsidR="001E0A40" w:rsidRDefault="00A249FF" w:rsidP="00115D5C">
      <w:pPr>
        <w:widowControl/>
        <w:spacing w:line="272" w:lineRule="atLeast"/>
        <w:textAlignment w:val="baseline"/>
        <w:rPr>
          <w:rFonts w:ascii="Verdana" w:hAnsi="Verdana" w:cs="新細明體"/>
          <w:b/>
          <w:bCs/>
          <w:color w:val="000000"/>
          <w:kern w:val="0"/>
          <w:sz w:val="18"/>
          <w:szCs w:val="18"/>
        </w:rPr>
      </w:pP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許多食物與藥物都可能會影響</w:t>
      </w:r>
      <w:proofErr w:type="spell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Warfarin</w:t>
      </w:r>
      <w:proofErr w:type="spell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的作用，例如維他命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E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會提高</w:t>
      </w:r>
      <w:proofErr w:type="spell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Warfarin</w:t>
      </w:r>
      <w:proofErr w:type="spell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的作用，增加出血危險性；而大量的綠色蔬菜，如花椰菜、菠菜等，因含大量維他命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K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會降低</w:t>
      </w:r>
      <w:proofErr w:type="spell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Warfarin</w:t>
      </w:r>
      <w:proofErr w:type="spell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的效果。但並不是所有與</w:t>
      </w:r>
      <w:proofErr w:type="spellStart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Warfarin</w:t>
      </w:r>
      <w:proofErr w:type="spellEnd"/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有交互作用的食物都不能吃，而是要避免長期大量食用高含量食物，且不要大幅度改變飲食習慣，一旦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INR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t>值有異常狀況，可諮詢藥師並告知醫師所攝取的食物或藥物，以便醫師做判斷並調整劑量及做適當的處置。</w:t>
      </w:r>
      <w:r w:rsidRPr="00A249FF">
        <w:rPr>
          <w:rFonts w:ascii="Verdana" w:hAnsi="Verdana" w:cs="新細明體"/>
          <w:color w:val="000000"/>
          <w:kern w:val="0"/>
          <w:sz w:val="18"/>
          <w:szCs w:val="18"/>
        </w:rPr>
        <w:br/>
        <w:t>-</w:t>
      </w:r>
      <w:r w:rsidR="00115D5C" w:rsidRPr="00115D5C">
        <w:rPr>
          <w:rFonts w:ascii="Verdana" w:hAnsi="Verdana" w:cs="新細明體" w:hint="eastAsia"/>
          <w:b/>
          <w:bCs/>
          <w:color w:val="000000"/>
          <w:kern w:val="0"/>
          <w:sz w:val="18"/>
          <w:szCs w:val="18"/>
        </w:rPr>
        <w:t>新型抗凝血劑</w:t>
      </w:r>
      <w:r w:rsidR="00115D5C">
        <w:rPr>
          <w:rFonts w:ascii="Verdana" w:hAnsi="Verdana" w:cs="新細明體" w:hint="eastAsia"/>
          <w:b/>
          <w:bCs/>
          <w:color w:val="000000"/>
          <w:kern w:val="0"/>
          <w:sz w:val="18"/>
          <w:szCs w:val="18"/>
        </w:rPr>
        <w:t xml:space="preserve"> </w:t>
      </w:r>
    </w:p>
    <w:tbl>
      <w:tblPr>
        <w:tblStyle w:val="a4"/>
        <w:tblW w:w="5000" w:type="pct"/>
        <w:tblLook w:val="04A0"/>
      </w:tblPr>
      <w:tblGrid>
        <w:gridCol w:w="1526"/>
        <w:gridCol w:w="1844"/>
        <w:gridCol w:w="5152"/>
      </w:tblGrid>
      <w:tr w:rsidR="00115D5C" w:rsidTr="00E334B0">
        <w:tc>
          <w:tcPr>
            <w:tcW w:w="895" w:type="pct"/>
          </w:tcPr>
          <w:p w:rsidR="00115D5C" w:rsidRPr="00115D5C" w:rsidRDefault="00115D5C" w:rsidP="00621223">
            <w:pPr>
              <w:spacing w:line="500" w:lineRule="exact"/>
              <w:rPr>
                <w:b/>
                <w:color w:val="000000" w:themeColor="text1"/>
                <w:sz w:val="20"/>
                <w:szCs w:val="20"/>
              </w:rPr>
            </w:pPr>
            <w:r w:rsidRPr="00115D5C">
              <w:rPr>
                <w:rFonts w:hint="eastAsia"/>
                <w:b/>
                <w:color w:val="000000" w:themeColor="text1"/>
                <w:sz w:val="20"/>
                <w:szCs w:val="20"/>
              </w:rPr>
              <w:t>藥名</w:t>
            </w:r>
          </w:p>
        </w:tc>
        <w:tc>
          <w:tcPr>
            <w:tcW w:w="1082" w:type="pct"/>
          </w:tcPr>
          <w:p w:rsidR="00115D5C" w:rsidRPr="00115D5C" w:rsidRDefault="00115D5C" w:rsidP="00621223">
            <w:pPr>
              <w:spacing w:line="500" w:lineRule="exact"/>
              <w:rPr>
                <w:b/>
                <w:color w:val="000000" w:themeColor="text1"/>
                <w:sz w:val="20"/>
                <w:szCs w:val="20"/>
              </w:rPr>
            </w:pPr>
            <w:r w:rsidRPr="00115D5C">
              <w:rPr>
                <w:rFonts w:hint="eastAsia"/>
                <w:b/>
                <w:color w:val="000000" w:themeColor="text1"/>
                <w:sz w:val="20"/>
                <w:szCs w:val="20"/>
              </w:rPr>
              <w:t>用藥方法</w:t>
            </w:r>
          </w:p>
        </w:tc>
        <w:tc>
          <w:tcPr>
            <w:tcW w:w="3023" w:type="pct"/>
          </w:tcPr>
          <w:p w:rsidR="00115D5C" w:rsidRPr="00115D5C" w:rsidRDefault="00115D5C" w:rsidP="00621223">
            <w:pPr>
              <w:spacing w:line="500" w:lineRule="exact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115D5C">
              <w:rPr>
                <w:rFonts w:hint="eastAsia"/>
                <w:b/>
                <w:color w:val="000000" w:themeColor="text1"/>
                <w:sz w:val="20"/>
                <w:szCs w:val="20"/>
              </w:rPr>
              <w:t>忘劑用藥</w:t>
            </w:r>
            <w:proofErr w:type="gramEnd"/>
            <w:r w:rsidRPr="00115D5C">
              <w:rPr>
                <w:rFonts w:hint="eastAsia"/>
                <w:b/>
                <w:color w:val="000000" w:themeColor="text1"/>
                <w:sz w:val="20"/>
                <w:szCs w:val="20"/>
              </w:rPr>
              <w:t>怎麼辦？</w:t>
            </w:r>
          </w:p>
        </w:tc>
      </w:tr>
      <w:tr w:rsidR="00115D5C" w:rsidTr="00E334B0">
        <w:trPr>
          <w:trHeight w:val="1474"/>
        </w:trPr>
        <w:tc>
          <w:tcPr>
            <w:tcW w:w="895" w:type="pct"/>
          </w:tcPr>
          <w:p w:rsidR="00115D5C" w:rsidRPr="00115D5C" w:rsidRDefault="00115D5C" w:rsidP="00621223">
            <w:pPr>
              <w:spacing w:line="500" w:lineRule="exact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115D5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Pradaxa</w:t>
            </w:r>
            <w:proofErr w:type="spellEnd"/>
            <w:r w:rsidRPr="00115D5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 xml:space="preserve">/ </w:t>
            </w:r>
            <w:proofErr w:type="spellStart"/>
            <w:r w:rsidRPr="00115D5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Dabigatran</w:t>
            </w:r>
            <w:proofErr w:type="spellEnd"/>
          </w:p>
          <w:p w:rsidR="00115D5C" w:rsidRPr="00115D5C" w:rsidRDefault="00115D5C" w:rsidP="00621223">
            <w:pPr>
              <w:spacing w:line="5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5D5C">
              <w:rPr>
                <w:rFonts w:hAnsiTheme="minorEastAsia"/>
                <w:b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-7620</wp:posOffset>
                  </wp:positionV>
                  <wp:extent cx="495300" cy="457200"/>
                  <wp:effectExtent l="19050" t="0" r="0" b="0"/>
                  <wp:wrapNone/>
                  <wp:docPr id="4" name="圖片 3" descr="圖片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15D5C">
              <w:rPr>
                <w:rFonts w:ascii="Times New Roman" w:hAnsiTheme="minorEastAsia" w:cs="Times New Roman"/>
                <w:b/>
                <w:color w:val="000000" w:themeColor="text1"/>
                <w:sz w:val="20"/>
                <w:szCs w:val="20"/>
              </w:rPr>
              <w:t>普</w:t>
            </w:r>
            <w:proofErr w:type="gramStart"/>
            <w:r w:rsidRPr="00115D5C">
              <w:rPr>
                <w:rFonts w:ascii="Times New Roman" w:hAnsiTheme="minorEastAsia" w:cs="Times New Roman"/>
                <w:b/>
                <w:color w:val="000000" w:themeColor="text1"/>
                <w:sz w:val="20"/>
                <w:szCs w:val="20"/>
              </w:rPr>
              <w:t>栓</w:t>
            </w:r>
            <w:proofErr w:type="gramEnd"/>
            <w:r w:rsidRPr="00115D5C">
              <w:rPr>
                <w:rFonts w:ascii="Times New Roman" w:hAnsiTheme="minorEastAsia" w:cs="Times New Roman"/>
                <w:b/>
                <w:color w:val="000000" w:themeColor="text1"/>
                <w:sz w:val="20"/>
                <w:szCs w:val="20"/>
              </w:rPr>
              <w:t>達</w:t>
            </w:r>
          </w:p>
        </w:tc>
        <w:tc>
          <w:tcPr>
            <w:tcW w:w="1082" w:type="pct"/>
          </w:tcPr>
          <w:p w:rsidR="00115D5C" w:rsidRPr="00115D5C" w:rsidRDefault="00115D5C" w:rsidP="00621223">
            <w:pPr>
              <w:spacing w:line="50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15D5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一天2次</w:t>
            </w:r>
          </w:p>
          <w:p w:rsidR="00115D5C" w:rsidRPr="00115D5C" w:rsidRDefault="00115D5C" w:rsidP="00621223">
            <w:pPr>
              <w:spacing w:line="50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飯後、空腹</w:t>
            </w:r>
            <w:r w:rsidRPr="00115D5C">
              <w:rPr>
                <w:bCs/>
                <w:color w:val="333333"/>
                <w:kern w:val="36"/>
                <w:sz w:val="20"/>
                <w:szCs w:val="20"/>
              </w:rPr>
              <w:t>或與食物</w:t>
            </w:r>
            <w:proofErr w:type="gramStart"/>
            <w:r w:rsidRPr="00115D5C">
              <w:rPr>
                <w:bCs/>
                <w:color w:val="333333"/>
                <w:kern w:val="36"/>
                <w:sz w:val="20"/>
                <w:szCs w:val="20"/>
              </w:rPr>
              <w:t>併</w:t>
            </w:r>
            <w:proofErr w:type="gramEnd"/>
            <w:r w:rsidRPr="00115D5C">
              <w:rPr>
                <w:bCs/>
                <w:color w:val="333333"/>
                <w:kern w:val="36"/>
                <w:sz w:val="20"/>
                <w:szCs w:val="20"/>
              </w:rPr>
              <w:t>服</w:t>
            </w:r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均可，需整顆吞服，不可咀嚼、撥開或壓碎</w:t>
            </w:r>
          </w:p>
        </w:tc>
        <w:tc>
          <w:tcPr>
            <w:tcW w:w="3023" w:type="pct"/>
          </w:tcPr>
          <w:p w:rsidR="00E334B0" w:rsidRDefault="00115D5C" w:rsidP="00621223">
            <w:pPr>
              <w:pStyle w:val="Web"/>
              <w:spacing w:line="500" w:lineRule="exact"/>
              <w:outlineLvl w:val="4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儘速於同一天內</w:t>
            </w:r>
            <w:proofErr w:type="gramStart"/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補服該劑</w:t>
            </w:r>
            <w:proofErr w:type="gramEnd"/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，但若距離下一劑預定服用時間不到6小時就跳</w:t>
            </w:r>
            <w:proofErr w:type="gramStart"/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過該劑</w:t>
            </w:r>
            <w:proofErr w:type="gramEnd"/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，於下次正確時間服用一次劑量即可，</w:t>
            </w:r>
            <w:proofErr w:type="gramStart"/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切勿服雙倍</w:t>
            </w:r>
            <w:proofErr w:type="gramEnd"/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劑量</w:t>
            </w:r>
          </w:p>
          <w:p w:rsidR="00E334B0" w:rsidRDefault="00115D5C" w:rsidP="00E334B0">
            <w:pPr>
              <w:pStyle w:val="Web"/>
              <w:spacing w:line="500" w:lineRule="exact"/>
              <w:outlineLvl w:val="4"/>
              <w:rPr>
                <w:rFonts w:asciiTheme="minorEastAsia" w:hAnsiTheme="minorEastAsia" w:hint="eastAsia"/>
                <w:vanish/>
                <w:color w:val="000000" w:themeColor="text1"/>
                <w:sz w:val="20"/>
                <w:szCs w:val="20"/>
              </w:rPr>
            </w:pPr>
            <w:r w:rsidRPr="00115D5C">
              <w:rPr>
                <w:rFonts w:asciiTheme="minorEastAsia" w:hAnsiTheme="minorEastAsia"/>
                <w:vanish/>
                <w:color w:val="000000" w:themeColor="text1"/>
                <w:sz w:val="20"/>
                <w:szCs w:val="20"/>
              </w:rPr>
              <w:t>1.普</w:t>
            </w:r>
            <w:proofErr w:type="gramStart"/>
            <w:r w:rsidRPr="00115D5C">
              <w:rPr>
                <w:rFonts w:asciiTheme="minorEastAsia" w:hAnsiTheme="minorEastAsia"/>
                <w:vanish/>
                <w:color w:val="000000" w:themeColor="text1"/>
                <w:sz w:val="20"/>
                <w:szCs w:val="20"/>
              </w:rPr>
              <w:t>栓</w:t>
            </w:r>
            <w:proofErr w:type="gramEnd"/>
            <w:r w:rsidRPr="00115D5C">
              <w:rPr>
                <w:rFonts w:asciiTheme="minorEastAsia" w:hAnsiTheme="minorEastAsia"/>
                <w:vanish/>
                <w:color w:val="000000" w:themeColor="text1"/>
                <w:sz w:val="20"/>
                <w:szCs w:val="20"/>
              </w:rPr>
              <w:t>達用法為一天兩次，每次服用一顆膠囊。</w:t>
            </w:r>
            <w:proofErr w:type="gramStart"/>
            <w:r w:rsidRPr="00115D5C">
              <w:rPr>
                <w:rFonts w:asciiTheme="minorEastAsia" w:hAnsiTheme="minorEastAsia"/>
                <w:vanish/>
                <w:color w:val="000000" w:themeColor="text1"/>
                <w:sz w:val="20"/>
                <w:szCs w:val="20"/>
              </w:rPr>
              <w:t>空腹或餐後</w:t>
            </w:r>
            <w:proofErr w:type="gramEnd"/>
            <w:r w:rsidRPr="00115D5C">
              <w:rPr>
                <w:rFonts w:asciiTheme="minorEastAsia" w:hAnsiTheme="minorEastAsia"/>
                <w:vanish/>
                <w:color w:val="000000" w:themeColor="text1"/>
                <w:sz w:val="20"/>
                <w:szCs w:val="20"/>
              </w:rPr>
              <w:t xml:space="preserve">服用皆可，若有腸胃不適可隨餐吃。 </w:t>
            </w:r>
          </w:p>
          <w:p w:rsidR="00E334B0" w:rsidRDefault="00115D5C" w:rsidP="00E334B0">
            <w:pPr>
              <w:pStyle w:val="Web"/>
              <w:spacing w:line="500" w:lineRule="exact"/>
              <w:outlineLvl w:val="4"/>
              <w:rPr>
                <w:rFonts w:asciiTheme="minorEastAsia" w:hAnsiTheme="minorEastAsia" w:hint="eastAsia"/>
                <w:vanish/>
                <w:color w:val="000000" w:themeColor="text1"/>
                <w:sz w:val="20"/>
                <w:szCs w:val="20"/>
              </w:rPr>
            </w:pPr>
            <w:r w:rsidRPr="00115D5C">
              <w:rPr>
                <w:rFonts w:asciiTheme="minorEastAsia" w:hAnsiTheme="minorEastAsia"/>
                <w:vanish/>
                <w:color w:val="000000" w:themeColor="text1"/>
                <w:sz w:val="20"/>
                <w:szCs w:val="20"/>
              </w:rPr>
              <w:t>2.膠囊需整顆吞服，不可咀嚼、撥開、壓碎或取出膠囊</w:t>
            </w:r>
            <w:proofErr w:type="gramStart"/>
            <w:r w:rsidRPr="00115D5C">
              <w:rPr>
                <w:rFonts w:asciiTheme="minorEastAsia" w:hAnsiTheme="minorEastAsia"/>
                <w:vanish/>
                <w:color w:val="000000" w:themeColor="text1"/>
                <w:sz w:val="20"/>
                <w:szCs w:val="20"/>
              </w:rPr>
              <w:t>內藥粒</w:t>
            </w:r>
            <w:proofErr w:type="gramEnd"/>
            <w:r w:rsidRPr="00115D5C">
              <w:rPr>
                <w:rFonts w:asciiTheme="minorEastAsia" w:hAnsiTheme="minorEastAsia"/>
                <w:vanish/>
                <w:color w:val="000000" w:themeColor="text1"/>
                <w:sz w:val="20"/>
                <w:szCs w:val="20"/>
              </w:rPr>
              <w:t>。</w:t>
            </w:r>
          </w:p>
          <w:p w:rsidR="00E334B0" w:rsidRDefault="00115D5C" w:rsidP="00E334B0">
            <w:pPr>
              <w:pStyle w:val="Web"/>
              <w:spacing w:line="500" w:lineRule="exact"/>
              <w:outlineLvl w:val="4"/>
              <w:rPr>
                <w:rFonts w:asciiTheme="minorEastAsia" w:hAnsiTheme="minorEastAsia" w:hint="eastAsia"/>
                <w:vanish/>
                <w:color w:val="000000" w:themeColor="text1"/>
                <w:sz w:val="20"/>
                <w:szCs w:val="20"/>
              </w:rPr>
            </w:pPr>
            <w:r w:rsidRPr="00115D5C">
              <w:rPr>
                <w:rFonts w:asciiTheme="minorEastAsia" w:hAnsiTheme="minorEastAsia"/>
                <w:vanish/>
                <w:color w:val="000000" w:themeColor="text1"/>
                <w:sz w:val="20"/>
                <w:szCs w:val="20"/>
              </w:rPr>
              <w:t>3.若忘記服藥，一想起應</w:t>
            </w:r>
            <w:proofErr w:type="gramStart"/>
            <w:r w:rsidRPr="00115D5C">
              <w:rPr>
                <w:rFonts w:asciiTheme="minorEastAsia" w:hAnsiTheme="minorEastAsia"/>
                <w:vanish/>
                <w:color w:val="000000" w:themeColor="text1"/>
                <w:sz w:val="20"/>
                <w:szCs w:val="20"/>
              </w:rPr>
              <w:t>立刻補吃</w:t>
            </w:r>
            <w:proofErr w:type="gramEnd"/>
            <w:r w:rsidRPr="00115D5C">
              <w:rPr>
                <w:rFonts w:asciiTheme="minorEastAsia" w:hAnsiTheme="minorEastAsia"/>
                <w:vanish/>
                <w:color w:val="000000" w:themeColor="text1"/>
                <w:sz w:val="20"/>
                <w:szCs w:val="20"/>
              </w:rPr>
              <w:t>。若未能在下一劑之前至少六小時補服藥物即應跳過該劑，並於下次正確時間服用一次劑量即可。</w:t>
            </w:r>
            <w:proofErr w:type="gramStart"/>
            <w:r w:rsidRPr="00115D5C">
              <w:rPr>
                <w:rFonts w:asciiTheme="minorEastAsia" w:hAnsiTheme="minorEastAsia"/>
                <w:vanish/>
                <w:color w:val="000000" w:themeColor="text1"/>
                <w:sz w:val="20"/>
                <w:szCs w:val="20"/>
              </w:rPr>
              <w:t>切勿服雙倍</w:t>
            </w:r>
            <w:proofErr w:type="gramEnd"/>
            <w:r w:rsidRPr="00115D5C">
              <w:rPr>
                <w:rFonts w:asciiTheme="minorEastAsia" w:hAnsiTheme="minorEastAsia"/>
                <w:vanish/>
                <w:color w:val="000000" w:themeColor="text1"/>
                <w:sz w:val="20"/>
                <w:szCs w:val="20"/>
              </w:rPr>
              <w:t>劑量，以免發生危險。</w:t>
            </w:r>
          </w:p>
          <w:p w:rsidR="00115D5C" w:rsidRPr="00E334B0" w:rsidRDefault="00115D5C" w:rsidP="00E334B0">
            <w:pPr>
              <w:pStyle w:val="Web"/>
              <w:spacing w:line="500" w:lineRule="exact"/>
              <w:outlineLvl w:val="4"/>
              <w:rPr>
                <w:rFonts w:asciiTheme="minorEastAsia" w:hAnsiTheme="minorEastAsia"/>
                <w:vanish/>
                <w:color w:val="000000" w:themeColor="text1"/>
                <w:sz w:val="20"/>
                <w:szCs w:val="20"/>
              </w:rPr>
            </w:pPr>
            <w:r w:rsidRPr="00115D5C">
              <w:rPr>
                <w:rFonts w:asciiTheme="minorEastAsia" w:hAnsiTheme="minorEastAsia"/>
                <w:vanish/>
                <w:color w:val="000000" w:themeColor="text1"/>
                <w:sz w:val="20"/>
                <w:szCs w:val="20"/>
              </w:rPr>
              <w:t>4.依照醫囑服用，不可擅自自行停藥或增減劑量。</w:t>
            </w:r>
          </w:p>
        </w:tc>
      </w:tr>
      <w:tr w:rsidR="00115D5C" w:rsidTr="00E334B0">
        <w:trPr>
          <w:trHeight w:val="1474"/>
        </w:trPr>
        <w:tc>
          <w:tcPr>
            <w:tcW w:w="895" w:type="pct"/>
          </w:tcPr>
          <w:p w:rsidR="00115D5C" w:rsidRPr="00115D5C" w:rsidRDefault="00115D5C" w:rsidP="00621223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15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Xarelto</w:t>
            </w:r>
            <w:proofErr w:type="spellEnd"/>
            <w:r w:rsidRPr="00115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115D5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115D5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Rivaroxaban</w:t>
            </w:r>
            <w:proofErr w:type="spellEnd"/>
            <w:r w:rsidRPr="00115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15D5C" w:rsidRPr="00115D5C" w:rsidRDefault="00115D5C" w:rsidP="00621223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15D5C">
              <w:rPr>
                <w:rFonts w:ascii="Times New Roman" w:hAnsiTheme="minorEastAsia" w:cs="Times New Roman"/>
                <w:b/>
                <w:color w:val="000000" w:themeColor="text1"/>
                <w:sz w:val="20"/>
                <w:szCs w:val="20"/>
              </w:rPr>
              <w:t>拜瑞妥</w:t>
            </w:r>
            <w:proofErr w:type="gramEnd"/>
            <w:r w:rsidRPr="00115D5C">
              <w:rPr>
                <w:rFonts w:hAnsiTheme="minorEastAsia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619125" cy="293077"/>
                  <wp:effectExtent l="19050" t="0" r="9525" b="0"/>
                  <wp:docPr id="2" name="圖片 0" descr="圖片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9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pct"/>
          </w:tcPr>
          <w:p w:rsidR="00115D5C" w:rsidRPr="00115D5C" w:rsidRDefault="00115D5C" w:rsidP="00621223">
            <w:pPr>
              <w:spacing w:line="50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15D5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一天1次</w:t>
            </w:r>
          </w:p>
          <w:p w:rsidR="00115D5C" w:rsidRPr="00115D5C" w:rsidRDefault="00115D5C" w:rsidP="00621223">
            <w:pPr>
              <w:spacing w:line="50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飯後、空腹</w:t>
            </w:r>
            <w:r w:rsidRPr="00115D5C">
              <w:rPr>
                <w:bCs/>
                <w:color w:val="333333"/>
                <w:kern w:val="36"/>
                <w:sz w:val="20"/>
                <w:szCs w:val="20"/>
              </w:rPr>
              <w:t>或與食物</w:t>
            </w:r>
            <w:proofErr w:type="gramStart"/>
            <w:r w:rsidRPr="00115D5C">
              <w:rPr>
                <w:bCs/>
                <w:color w:val="333333"/>
                <w:kern w:val="36"/>
                <w:sz w:val="20"/>
                <w:szCs w:val="20"/>
              </w:rPr>
              <w:t>併</w:t>
            </w:r>
            <w:proofErr w:type="gramEnd"/>
            <w:r w:rsidRPr="00115D5C">
              <w:rPr>
                <w:bCs/>
                <w:color w:val="333333"/>
                <w:kern w:val="36"/>
                <w:sz w:val="20"/>
                <w:szCs w:val="20"/>
              </w:rPr>
              <w:t>服</w:t>
            </w:r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均可</w:t>
            </w:r>
            <w:r w:rsidRPr="00115D5C">
              <w:rPr>
                <w:bCs/>
                <w:color w:val="333333"/>
                <w:kern w:val="36"/>
                <w:sz w:val="20"/>
                <w:szCs w:val="20"/>
              </w:rPr>
              <w:t>，</w:t>
            </w:r>
            <w:r w:rsidRPr="00115D5C">
              <w:rPr>
                <w:rFonts w:hint="eastAsia"/>
                <w:bCs/>
                <w:color w:val="333333"/>
                <w:kern w:val="36"/>
                <w:sz w:val="20"/>
                <w:szCs w:val="20"/>
              </w:rPr>
              <w:t>可壓碎磨粉</w:t>
            </w:r>
          </w:p>
        </w:tc>
        <w:tc>
          <w:tcPr>
            <w:tcW w:w="3023" w:type="pct"/>
          </w:tcPr>
          <w:p w:rsidR="00115D5C" w:rsidRPr="00115D5C" w:rsidRDefault="00115D5C" w:rsidP="00621223">
            <w:pPr>
              <w:spacing w:line="5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儘速於同一天</w:t>
            </w:r>
            <w:proofErr w:type="gramStart"/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內補服</w:t>
            </w:r>
            <w:proofErr w:type="gramEnd"/>
          </w:p>
        </w:tc>
      </w:tr>
      <w:tr w:rsidR="00115D5C" w:rsidTr="00E334B0">
        <w:trPr>
          <w:trHeight w:val="1474"/>
        </w:trPr>
        <w:tc>
          <w:tcPr>
            <w:tcW w:w="895" w:type="pct"/>
          </w:tcPr>
          <w:p w:rsidR="00115D5C" w:rsidRPr="00115D5C" w:rsidRDefault="00115D5C" w:rsidP="00621223">
            <w:pPr>
              <w:spacing w:line="500" w:lineRule="exact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115D5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Eliquis</w:t>
            </w:r>
            <w:proofErr w:type="spellEnd"/>
            <w:r w:rsidRPr="00115D5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/</w:t>
            </w:r>
            <w:r w:rsidRPr="00115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5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Apixaban</w:t>
            </w:r>
            <w:proofErr w:type="spellEnd"/>
            <w:r w:rsidRPr="00115D5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15D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5D5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115D5C" w:rsidRPr="00115D5C" w:rsidRDefault="00115D5C" w:rsidP="00621223">
            <w:pPr>
              <w:spacing w:line="500" w:lineRule="exact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15D5C">
              <w:rPr>
                <w:rFonts w:ascii="Times New Roman" w:hAnsiTheme="minorEastAsia" w:cs="Times New Roman"/>
                <w:b/>
                <w:color w:val="000000" w:themeColor="text1"/>
                <w:sz w:val="20"/>
                <w:szCs w:val="20"/>
              </w:rPr>
              <w:t>艾必克凝</w:t>
            </w:r>
            <w:proofErr w:type="gramEnd"/>
            <w:r w:rsidRPr="00115D5C">
              <w:rPr>
                <w:bCs/>
                <w:noProof/>
                <w:color w:val="000000" w:themeColor="text1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-166370</wp:posOffset>
                  </wp:positionV>
                  <wp:extent cx="400050" cy="419100"/>
                  <wp:effectExtent l="19050" t="0" r="0" b="0"/>
                  <wp:wrapNone/>
                  <wp:docPr id="8" name="圖片 4" descr="圖片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2" w:type="pct"/>
          </w:tcPr>
          <w:p w:rsidR="00115D5C" w:rsidRPr="00115D5C" w:rsidRDefault="00115D5C" w:rsidP="00621223">
            <w:pPr>
              <w:spacing w:line="50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15D5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一天2次</w:t>
            </w:r>
          </w:p>
          <w:p w:rsidR="00115D5C" w:rsidRPr="00115D5C" w:rsidRDefault="00115D5C" w:rsidP="00621223">
            <w:pPr>
              <w:spacing w:line="50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飯後、空腹</w:t>
            </w:r>
            <w:r w:rsidRPr="00115D5C">
              <w:rPr>
                <w:bCs/>
                <w:color w:val="333333"/>
                <w:kern w:val="36"/>
                <w:sz w:val="20"/>
                <w:szCs w:val="20"/>
              </w:rPr>
              <w:t>或與食物</w:t>
            </w:r>
            <w:proofErr w:type="gramStart"/>
            <w:r w:rsidRPr="00115D5C">
              <w:rPr>
                <w:bCs/>
                <w:color w:val="333333"/>
                <w:kern w:val="36"/>
                <w:sz w:val="20"/>
                <w:szCs w:val="20"/>
              </w:rPr>
              <w:t>併</w:t>
            </w:r>
            <w:proofErr w:type="gramEnd"/>
            <w:r w:rsidRPr="00115D5C">
              <w:rPr>
                <w:bCs/>
                <w:color w:val="333333"/>
                <w:kern w:val="36"/>
                <w:sz w:val="20"/>
                <w:szCs w:val="20"/>
              </w:rPr>
              <w:t>服</w:t>
            </w:r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均可</w:t>
            </w:r>
          </w:p>
        </w:tc>
        <w:tc>
          <w:tcPr>
            <w:tcW w:w="3023" w:type="pct"/>
          </w:tcPr>
          <w:p w:rsidR="00115D5C" w:rsidRPr="00115D5C" w:rsidRDefault="00115D5C" w:rsidP="00621223">
            <w:pPr>
              <w:spacing w:line="5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儘速於同一天內</w:t>
            </w:r>
            <w:proofErr w:type="gramStart"/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補服該劑</w:t>
            </w:r>
            <w:proofErr w:type="gramEnd"/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，但若距離下一劑預定服用時間不到6小時就跳</w:t>
            </w:r>
            <w:proofErr w:type="gramStart"/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過該劑</w:t>
            </w:r>
            <w:proofErr w:type="gramEnd"/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，於下次正確時間服用一次劑量即可，</w:t>
            </w:r>
            <w:proofErr w:type="gramStart"/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切勿服雙倍</w:t>
            </w:r>
            <w:proofErr w:type="gramEnd"/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劑量</w:t>
            </w:r>
          </w:p>
        </w:tc>
      </w:tr>
      <w:tr w:rsidR="00115D5C" w:rsidTr="00E334B0">
        <w:tc>
          <w:tcPr>
            <w:tcW w:w="895" w:type="pct"/>
          </w:tcPr>
          <w:p w:rsidR="00115D5C" w:rsidRPr="00115D5C" w:rsidRDefault="00115D5C" w:rsidP="00621223">
            <w:pPr>
              <w:spacing w:line="500" w:lineRule="exact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115D5C">
              <w:rPr>
                <w:rFonts w:ascii="Times New Roman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L</w:t>
            </w:r>
            <w:r w:rsidRPr="00115D5C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ixiana</w:t>
            </w:r>
            <w:proofErr w:type="spellEnd"/>
          </w:p>
          <w:p w:rsidR="00115D5C" w:rsidRPr="00115D5C" w:rsidRDefault="00115D5C" w:rsidP="00621223">
            <w:pPr>
              <w:spacing w:line="500" w:lineRule="exact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115D5C">
              <w:rPr>
                <w:rFonts w:ascii="Times New Roman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Edoxaban</w:t>
            </w:r>
            <w:proofErr w:type="spellEnd"/>
          </w:p>
          <w:p w:rsidR="00115D5C" w:rsidRPr="00115D5C" w:rsidRDefault="00115D5C" w:rsidP="00621223">
            <w:pPr>
              <w:spacing w:line="500" w:lineRule="exac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15D5C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里先安膜衣錠</w:t>
            </w:r>
            <w:proofErr w:type="gramEnd"/>
          </w:p>
          <w:p w:rsidR="00115D5C" w:rsidRPr="00115D5C" w:rsidRDefault="00115D5C" w:rsidP="00621223">
            <w:pPr>
              <w:spacing w:line="500" w:lineRule="exact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115D5C">
              <w:rPr>
                <w:bCs/>
                <w:noProof/>
                <w:color w:val="000000" w:themeColor="text1"/>
                <w:kern w:val="0"/>
                <w:sz w:val="20"/>
                <w:szCs w:val="20"/>
              </w:rPr>
              <w:drawing>
                <wp:inline distT="0" distB="0" distL="0" distR="0">
                  <wp:extent cx="523875" cy="225557"/>
                  <wp:effectExtent l="19050" t="0" r="9525" b="0"/>
                  <wp:docPr id="9" name="圖片 8" descr="圖片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742" cy="2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5D5C">
              <w:rPr>
                <w:bCs/>
                <w:noProof/>
                <w:color w:val="000000" w:themeColor="text1"/>
                <w:kern w:val="0"/>
                <w:sz w:val="20"/>
                <w:szCs w:val="20"/>
              </w:rPr>
              <w:drawing>
                <wp:inline distT="0" distB="0" distL="0" distR="0">
                  <wp:extent cx="542925" cy="273953"/>
                  <wp:effectExtent l="19050" t="0" r="9525" b="0"/>
                  <wp:docPr id="10" name="圖片 9" descr="圖片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982" cy="27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pct"/>
          </w:tcPr>
          <w:p w:rsidR="00115D5C" w:rsidRPr="00115D5C" w:rsidRDefault="00115D5C" w:rsidP="00621223">
            <w:pPr>
              <w:spacing w:line="50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15D5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一天1次</w:t>
            </w:r>
          </w:p>
          <w:p w:rsidR="00115D5C" w:rsidRPr="00115D5C" w:rsidRDefault="00115D5C" w:rsidP="00621223">
            <w:pPr>
              <w:spacing w:line="50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15D5C">
              <w:rPr>
                <w:rFonts w:hint="eastAsia"/>
                <w:color w:val="333333"/>
                <w:sz w:val="20"/>
                <w:szCs w:val="20"/>
              </w:rPr>
              <w:t>可與或不與食物並用</w:t>
            </w:r>
            <w:r w:rsidRPr="00115D5C">
              <w:rPr>
                <w:vanish/>
                <w:color w:val="333333"/>
                <w:sz w:val="20"/>
                <w:szCs w:val="20"/>
              </w:rPr>
              <w:t>可與或不與食物併用</w:t>
            </w:r>
          </w:p>
        </w:tc>
        <w:tc>
          <w:tcPr>
            <w:tcW w:w="3023" w:type="pct"/>
          </w:tcPr>
          <w:p w:rsidR="00115D5C" w:rsidRPr="00115D5C" w:rsidRDefault="00115D5C" w:rsidP="00621223">
            <w:pPr>
              <w:spacing w:line="5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若在原服藥時間的12小時內想起來，應立即</w:t>
            </w:r>
            <w:proofErr w:type="gramStart"/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補服該劑</w:t>
            </w:r>
            <w:proofErr w:type="gramEnd"/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藥物</w:t>
            </w:r>
            <w:r w:rsidRPr="00115D5C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忘記服藥時</w:t>
            </w:r>
            <w:r w:rsidRPr="00115D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6B4841" w:rsidRPr="006B4841" w:rsidRDefault="006B4841" w:rsidP="006B4841">
      <w:pPr>
        <w:rPr>
          <w:rFonts w:ascii="Verdana" w:hAnsi="Verdana" w:cs="新細明體"/>
          <w:color w:val="000000"/>
          <w:kern w:val="0"/>
          <w:sz w:val="18"/>
          <w:szCs w:val="18"/>
        </w:rPr>
      </w:pPr>
      <w:r w:rsidRPr="006B4841">
        <w:rPr>
          <w:rFonts w:ascii="Verdana" w:hAnsi="Verdana" w:cs="新細明體" w:hint="eastAsia"/>
          <w:color w:val="000000"/>
          <w:kern w:val="0"/>
          <w:sz w:val="18"/>
          <w:szCs w:val="18"/>
        </w:rPr>
        <w:t>注意事項</w:t>
      </w:r>
    </w:p>
    <w:p w:rsidR="00E334B0" w:rsidRDefault="006B4841" w:rsidP="00E334B0">
      <w:pPr>
        <w:pStyle w:val="ab"/>
        <w:numPr>
          <w:ilvl w:val="0"/>
          <w:numId w:val="2"/>
        </w:numPr>
        <w:spacing w:line="420" w:lineRule="exact"/>
        <w:ind w:leftChars="0"/>
        <w:jc w:val="both"/>
        <w:rPr>
          <w:rFonts w:ascii="Verdana" w:hAnsi="Verdana" w:cs="新細明體" w:hint="eastAsia"/>
          <w:color w:val="000000"/>
          <w:kern w:val="0"/>
          <w:sz w:val="18"/>
          <w:szCs w:val="18"/>
        </w:rPr>
      </w:pP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出現下列症狀時，於回診務必告知醫師，包括：異常淤血、牙齦出血、流鼻血、頭暈、頭痛、容易感到疲倦、腸胃不適或消化不良；發生下列症狀需立即回診：出血、尿液呈現紅色或棕色、糞便呈現紅色或黑色、咳血或吐血</w:t>
      </w:r>
      <w:r w:rsidR="00E334B0"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。</w:t>
      </w:r>
    </w:p>
    <w:p w:rsidR="00E334B0" w:rsidRDefault="006B4841" w:rsidP="00E334B0">
      <w:pPr>
        <w:pStyle w:val="ab"/>
        <w:numPr>
          <w:ilvl w:val="0"/>
          <w:numId w:val="2"/>
        </w:numPr>
        <w:spacing w:line="420" w:lineRule="exact"/>
        <w:ind w:leftChars="0"/>
        <w:jc w:val="both"/>
        <w:rPr>
          <w:rFonts w:ascii="Verdana" w:hAnsi="Verdana" w:cs="新細明體" w:hint="eastAsia"/>
          <w:color w:val="000000"/>
          <w:kern w:val="0"/>
          <w:sz w:val="18"/>
          <w:szCs w:val="18"/>
        </w:rPr>
      </w:pP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在安排任何手術、醫療處置或牙科處置之前，以及開始使用任何新的藥物之前，一定要告訴醫師與牙醫師正在使用此類藥物</w:t>
      </w:r>
      <w:r w:rsidR="00E334B0"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。</w:t>
      </w:r>
    </w:p>
    <w:p w:rsidR="00E334B0" w:rsidRDefault="006B4841" w:rsidP="00E334B0">
      <w:pPr>
        <w:pStyle w:val="ab"/>
        <w:numPr>
          <w:ilvl w:val="0"/>
          <w:numId w:val="2"/>
        </w:numPr>
        <w:spacing w:line="420" w:lineRule="exact"/>
        <w:ind w:leftChars="0"/>
        <w:jc w:val="both"/>
        <w:rPr>
          <w:rFonts w:ascii="Verdana" w:hAnsi="Verdana" w:cs="新細明體" w:hint="eastAsia"/>
          <w:color w:val="000000"/>
          <w:kern w:val="0"/>
          <w:sz w:val="18"/>
          <w:szCs w:val="18"/>
        </w:rPr>
      </w:pP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不可在未先和醫師討論的情況下自行停用或增減藥物劑量</w:t>
      </w:r>
      <w:r w:rsidR="00E334B0"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。</w:t>
      </w:r>
    </w:p>
    <w:p w:rsidR="00E334B0" w:rsidRDefault="006B4841" w:rsidP="00E334B0">
      <w:pPr>
        <w:pStyle w:val="ab"/>
        <w:numPr>
          <w:ilvl w:val="0"/>
          <w:numId w:val="2"/>
        </w:numPr>
        <w:spacing w:line="420" w:lineRule="exact"/>
        <w:ind w:leftChars="0"/>
        <w:jc w:val="both"/>
        <w:rPr>
          <w:rFonts w:ascii="Verdana" w:hAnsi="Verdana" w:cs="新細明體" w:hint="eastAsia"/>
          <w:color w:val="000000"/>
          <w:kern w:val="0"/>
          <w:sz w:val="18"/>
          <w:szCs w:val="18"/>
        </w:rPr>
      </w:pPr>
      <w:r w:rsidRPr="00E334B0">
        <w:rPr>
          <w:rFonts w:ascii="Verdana" w:hAnsi="Verdana" w:cs="新細明體"/>
          <w:color w:val="000000"/>
          <w:kern w:val="0"/>
          <w:sz w:val="18"/>
          <w:szCs w:val="18"/>
        </w:rPr>
        <w:t>孕婦，計劃懷孕</w:t>
      </w:r>
      <w:proofErr w:type="gramStart"/>
      <w:r w:rsidRPr="00E334B0">
        <w:rPr>
          <w:rFonts w:ascii="Verdana" w:hAnsi="Verdana" w:cs="新細明體"/>
          <w:color w:val="000000"/>
          <w:kern w:val="0"/>
          <w:sz w:val="18"/>
          <w:szCs w:val="18"/>
        </w:rPr>
        <w:t>或授乳</w:t>
      </w:r>
      <w:proofErr w:type="gramEnd"/>
      <w:r w:rsidRPr="00E334B0">
        <w:rPr>
          <w:rFonts w:ascii="Verdana" w:hAnsi="Verdana" w:cs="新細明體"/>
          <w:color w:val="000000"/>
          <w:kern w:val="0"/>
          <w:sz w:val="18"/>
          <w:szCs w:val="18"/>
        </w:rPr>
        <w:t>婦女請於開始服藥前告知醫師。若於服藥期間懷孕，也請立刻告知醫師</w:t>
      </w:r>
      <w:r w:rsidR="00E334B0"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。</w:t>
      </w:r>
    </w:p>
    <w:p w:rsidR="00E334B0" w:rsidRPr="00E334B0" w:rsidRDefault="006B4841" w:rsidP="00E334B0">
      <w:pPr>
        <w:pStyle w:val="ab"/>
        <w:numPr>
          <w:ilvl w:val="0"/>
          <w:numId w:val="2"/>
        </w:numPr>
        <w:spacing w:line="420" w:lineRule="exact"/>
        <w:ind w:leftChars="0"/>
        <w:jc w:val="both"/>
        <w:rPr>
          <w:rFonts w:ascii="Verdana" w:hAnsi="Verdana" w:cs="新細明體"/>
          <w:color w:val="000000"/>
          <w:kern w:val="0"/>
          <w:sz w:val="18"/>
          <w:szCs w:val="18"/>
        </w:rPr>
      </w:pP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若您同時服用其它藥物，例如抗心律不整藥物</w:t>
      </w: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(</w:t>
      </w:r>
      <w:proofErr w:type="spellStart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dronedarone</w:t>
      </w:r>
      <w:proofErr w:type="spellEnd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，</w:t>
      </w:r>
      <w:proofErr w:type="spellStart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amiodarone</w:t>
      </w:r>
      <w:proofErr w:type="spellEnd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)</w:t>
      </w: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，抗凝血藥物</w:t>
      </w: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(</w:t>
      </w:r>
      <w:proofErr w:type="spellStart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clopidogrel</w:t>
      </w:r>
      <w:proofErr w:type="spellEnd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，</w:t>
      </w:r>
      <w:proofErr w:type="spellStart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warfarin</w:t>
      </w:r>
      <w:proofErr w:type="spellEnd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，</w:t>
      </w: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aspirin)</w:t>
      </w: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，非類固醇抗發炎藥</w:t>
      </w: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(</w:t>
      </w:r>
      <w:proofErr w:type="spellStart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diclofenac</w:t>
      </w:r>
      <w:proofErr w:type="spellEnd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，</w:t>
      </w: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naproxen</w:t>
      </w: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，</w:t>
      </w:r>
      <w:proofErr w:type="spellStart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celecoxib</w:t>
      </w:r>
      <w:proofErr w:type="spellEnd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)</w:t>
      </w: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，抗感染藥物</w:t>
      </w: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(</w:t>
      </w:r>
      <w:proofErr w:type="spellStart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clarthromycin</w:t>
      </w:r>
      <w:proofErr w:type="spellEnd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，</w:t>
      </w:r>
      <w:proofErr w:type="spellStart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itraconazole</w:t>
      </w:r>
      <w:proofErr w:type="spellEnd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，</w:t>
      </w:r>
      <w:proofErr w:type="spellStart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ketoconazole</w:t>
      </w:r>
      <w:proofErr w:type="spellEnd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，</w:t>
      </w:r>
      <w:proofErr w:type="spellStart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rifampin</w:t>
      </w:r>
      <w:proofErr w:type="spellEnd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)</w:t>
      </w: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，抗病毒藥</w:t>
      </w: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(</w:t>
      </w:r>
      <w:proofErr w:type="spellStart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ritonavir</w:t>
      </w:r>
      <w:proofErr w:type="spellEnd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)</w:t>
      </w: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，抗癲癇藥物</w:t>
      </w: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(</w:t>
      </w:r>
      <w:proofErr w:type="spellStart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carbamazepine</w:t>
      </w:r>
      <w:proofErr w:type="spellEnd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，</w:t>
      </w:r>
      <w:proofErr w:type="spellStart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phenytoin</w:t>
      </w:r>
      <w:proofErr w:type="spellEnd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)</w:t>
      </w: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，金絲桃</w:t>
      </w: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(St John</w:t>
      </w:r>
      <w:proofErr w:type="gramStart"/>
      <w:r w:rsidRPr="00E334B0">
        <w:rPr>
          <w:rFonts w:ascii="Verdana" w:hAnsi="Verdana" w:cs="新細明體"/>
          <w:color w:val="000000"/>
          <w:kern w:val="0"/>
          <w:sz w:val="18"/>
          <w:szCs w:val="18"/>
        </w:rPr>
        <w:t>’</w:t>
      </w:r>
      <w:proofErr w:type="gramEnd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 xml:space="preserve">s </w:t>
      </w:r>
      <w:proofErr w:type="spellStart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wort</w:t>
      </w:r>
      <w:proofErr w:type="spellEnd"/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)</w:t>
      </w:r>
      <w:r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等，請告知醫師</w:t>
      </w:r>
      <w:r w:rsidR="00E334B0" w:rsidRPr="00E334B0">
        <w:rPr>
          <w:rFonts w:ascii="Verdana" w:hAnsi="Verdana" w:cs="新細明體" w:hint="eastAsia"/>
          <w:color w:val="000000"/>
          <w:kern w:val="0"/>
          <w:sz w:val="18"/>
          <w:szCs w:val="18"/>
        </w:rPr>
        <w:t>。</w:t>
      </w:r>
    </w:p>
    <w:sectPr w:rsidR="00E334B0" w:rsidRPr="00E334B0" w:rsidSect="007203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1C8" w:rsidRDefault="007071C8" w:rsidP="00E334B0">
      <w:r>
        <w:separator/>
      </w:r>
    </w:p>
  </w:endnote>
  <w:endnote w:type="continuationSeparator" w:id="0">
    <w:p w:rsidR="007071C8" w:rsidRDefault="007071C8" w:rsidP="00E3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1C8" w:rsidRDefault="007071C8" w:rsidP="00E334B0">
      <w:r>
        <w:separator/>
      </w:r>
    </w:p>
  </w:footnote>
  <w:footnote w:type="continuationSeparator" w:id="0">
    <w:p w:rsidR="007071C8" w:rsidRDefault="007071C8" w:rsidP="00E33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C7A"/>
    <w:multiLevelType w:val="hybridMultilevel"/>
    <w:tmpl w:val="8A00954C"/>
    <w:lvl w:ilvl="0" w:tplc="17F0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1B4318"/>
    <w:multiLevelType w:val="hybridMultilevel"/>
    <w:tmpl w:val="44B8C4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534"/>
    <w:rsid w:val="00115D5C"/>
    <w:rsid w:val="00136845"/>
    <w:rsid w:val="001E0A40"/>
    <w:rsid w:val="00222EAB"/>
    <w:rsid w:val="002848FF"/>
    <w:rsid w:val="002D15F2"/>
    <w:rsid w:val="002E1D7D"/>
    <w:rsid w:val="00465D94"/>
    <w:rsid w:val="006B4841"/>
    <w:rsid w:val="006D211A"/>
    <w:rsid w:val="007071C8"/>
    <w:rsid w:val="007203CC"/>
    <w:rsid w:val="009E0C06"/>
    <w:rsid w:val="00A249FF"/>
    <w:rsid w:val="00B60534"/>
    <w:rsid w:val="00BC212D"/>
    <w:rsid w:val="00CD0C6B"/>
    <w:rsid w:val="00D71BA8"/>
    <w:rsid w:val="00D8794A"/>
    <w:rsid w:val="00DD2E21"/>
    <w:rsid w:val="00E334B0"/>
    <w:rsid w:val="00FA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49F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A249FF"/>
    <w:rPr>
      <w:b/>
      <w:bCs/>
    </w:rPr>
  </w:style>
  <w:style w:type="table" w:styleId="a4">
    <w:name w:val="Table Grid"/>
    <w:basedOn w:val="a1"/>
    <w:uiPriority w:val="59"/>
    <w:rsid w:val="00115D5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5D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33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334B0"/>
    <w:rPr>
      <w:kern w:val="2"/>
    </w:rPr>
  </w:style>
  <w:style w:type="paragraph" w:styleId="a9">
    <w:name w:val="footer"/>
    <w:basedOn w:val="a"/>
    <w:link w:val="aa"/>
    <w:uiPriority w:val="99"/>
    <w:semiHidden/>
    <w:unhideWhenUsed/>
    <w:rsid w:val="00E33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334B0"/>
    <w:rPr>
      <w:kern w:val="2"/>
    </w:rPr>
  </w:style>
  <w:style w:type="paragraph" w:styleId="ab">
    <w:name w:val="List Paragraph"/>
    <w:basedOn w:val="a"/>
    <w:uiPriority w:val="34"/>
    <w:qFormat/>
    <w:rsid w:val="00E334B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vghtc</dc:creator>
  <cp:lastModifiedBy>vghtc</cp:lastModifiedBy>
  <cp:revision>10</cp:revision>
  <dcterms:created xsi:type="dcterms:W3CDTF">2019-09-04T07:01:00Z</dcterms:created>
  <dcterms:modified xsi:type="dcterms:W3CDTF">2019-11-14T00:58:00Z</dcterms:modified>
</cp:coreProperties>
</file>