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7F" w:rsidRPr="00042C2A" w:rsidRDefault="00520073">
      <w:pPr>
        <w:spacing w:line="240" w:lineRule="atLeast"/>
        <w:jc w:val="center"/>
        <w:rPr>
          <w:rFonts w:ascii="Arial" w:eastAsia="標楷體" w:hAnsi="Arial" w:cs="Arial"/>
          <w:b/>
          <w:bCs/>
        </w:rPr>
      </w:pPr>
      <w:r w:rsidRPr="00520073">
        <w:rPr>
          <w:rFonts w:ascii="Arial" w:eastAsia="標楷體" w:cs="Arial"/>
          <w:b/>
          <w:bCs/>
          <w:noProof/>
          <w:sz w:val="40"/>
        </w:rPr>
        <w:pict>
          <v:rect id="_x0000_s1029" style="position:absolute;left:0;text-align:left;margin-left:424.5pt;margin-top:9.8pt;width:90.15pt;height:22.5pt;z-index:251659264">
            <v:textbox>
              <w:txbxContent>
                <w:p w:rsidR="00042C2A" w:rsidRDefault="00C92D62">
                  <w:r>
                    <w:rPr>
                      <w:rFonts w:ascii="Arial" w:eastAsia="標楷體" w:cs="Arial" w:hint="eastAsia"/>
                      <w:b/>
                      <w:bCs/>
                    </w:rPr>
                    <w:t>201</w:t>
                  </w:r>
                  <w:r w:rsidR="005E6E2F">
                    <w:rPr>
                      <w:rFonts w:ascii="Arial" w:eastAsia="標楷體" w:cs="Arial" w:hint="eastAsia"/>
                      <w:b/>
                      <w:bCs/>
                    </w:rPr>
                    <w:t>9</w:t>
                  </w:r>
                  <w:r>
                    <w:rPr>
                      <w:rFonts w:ascii="Arial" w:eastAsia="標楷體" w:cs="Arial" w:hint="eastAsia"/>
                      <w:b/>
                      <w:bCs/>
                    </w:rPr>
                    <w:t>.0</w:t>
                  </w:r>
                  <w:r w:rsidR="000F3549">
                    <w:rPr>
                      <w:rFonts w:ascii="Arial" w:eastAsia="標楷體" w:cs="Arial" w:hint="eastAsia"/>
                      <w:b/>
                      <w:bCs/>
                    </w:rPr>
                    <w:t>8</w:t>
                  </w:r>
                  <w:r w:rsidR="00042C2A">
                    <w:rPr>
                      <w:rFonts w:ascii="Arial" w:eastAsia="標楷體" w:cs="Arial" w:hint="eastAsia"/>
                      <w:b/>
                      <w:bCs/>
                    </w:rPr>
                    <w:t xml:space="preserve"> </w:t>
                  </w:r>
                  <w:r w:rsidR="00042C2A">
                    <w:rPr>
                      <w:rFonts w:ascii="Arial" w:eastAsia="標楷體" w:cs="Arial" w:hint="eastAsia"/>
                      <w:b/>
                      <w:bCs/>
                    </w:rPr>
                    <w:t>修訂</w:t>
                  </w:r>
                </w:p>
              </w:txbxContent>
            </v:textbox>
          </v:rect>
        </w:pict>
      </w:r>
      <w:r w:rsidR="00091D7F" w:rsidRPr="00B87043">
        <w:rPr>
          <w:rFonts w:ascii="Arial" w:eastAsia="標楷體" w:cs="Arial"/>
          <w:b/>
          <w:bCs/>
          <w:sz w:val="40"/>
        </w:rPr>
        <w:t>新藥上線相關資料規格範例</w:t>
      </w:r>
      <w:r w:rsidR="00042C2A">
        <w:rPr>
          <w:rFonts w:ascii="Arial" w:eastAsia="標楷體" w:cs="Arial" w:hint="eastAsia"/>
          <w:b/>
          <w:bCs/>
          <w:sz w:val="40"/>
        </w:rPr>
        <w:t xml:space="preserve">   </w:t>
      </w:r>
    </w:p>
    <w:p w:rsidR="00402645" w:rsidRPr="00B87043" w:rsidRDefault="00402645" w:rsidP="00042C2A">
      <w:pPr>
        <w:spacing w:line="240" w:lineRule="atLeast"/>
        <w:rPr>
          <w:rFonts w:ascii="Arial" w:eastAsia="標楷體" w:hAnsi="Arial" w:cs="Arial"/>
          <w:sz w:val="28"/>
        </w:rPr>
      </w:pPr>
      <w:r w:rsidRPr="00B87043">
        <w:rPr>
          <w:rFonts w:ascii="Arial" w:eastAsia="標楷體" w:cs="Arial"/>
          <w:b/>
          <w:bCs/>
          <w:sz w:val="40"/>
        </w:rPr>
        <w:t>一、藥品手冊內容</w:t>
      </w:r>
    </w:p>
    <w:p w:rsidR="00042C2A" w:rsidRDefault="00120075" w:rsidP="005E2778">
      <w:pPr>
        <w:pStyle w:val="ab"/>
        <w:widowControl/>
        <w:numPr>
          <w:ilvl w:val="0"/>
          <w:numId w:val="8"/>
        </w:numPr>
        <w:spacing w:line="400" w:lineRule="exact"/>
        <w:ind w:leftChars="0"/>
        <w:rPr>
          <w:rFonts w:ascii="Arial" w:eastAsia="標楷體" w:cs="Arial"/>
          <w:sz w:val="28"/>
        </w:rPr>
      </w:pPr>
      <w:r w:rsidRPr="00492478">
        <w:rPr>
          <w:rFonts w:ascii="Arial" w:eastAsia="標楷體" w:cs="Arial" w:hint="eastAsia"/>
          <w:sz w:val="28"/>
          <w:highlight w:val="yellow"/>
        </w:rPr>
        <w:t>請以</w:t>
      </w:r>
      <w:r w:rsidRPr="00B3404D">
        <w:rPr>
          <w:rFonts w:ascii="Arial" w:eastAsia="標楷體" w:cs="Arial" w:hint="eastAsia"/>
          <w:color w:val="FF0000"/>
          <w:sz w:val="32"/>
          <w:highlight w:val="yellow"/>
        </w:rPr>
        <w:t>英文</w:t>
      </w:r>
      <w:r w:rsidRPr="00492478">
        <w:rPr>
          <w:rFonts w:ascii="Arial" w:eastAsia="標楷體" w:cs="Arial" w:hint="eastAsia"/>
          <w:sz w:val="28"/>
          <w:highlight w:val="yellow"/>
        </w:rPr>
        <w:t>撰寫以下藥品手冊資料內容</w:t>
      </w:r>
      <w:r w:rsidR="00042C2A" w:rsidRPr="005E2778">
        <w:rPr>
          <w:rFonts w:ascii="Arial" w:eastAsia="標楷體" w:cs="Arial" w:hint="eastAsia"/>
          <w:sz w:val="28"/>
        </w:rPr>
        <w:t>，</w:t>
      </w:r>
      <w:r w:rsidR="00C92D62">
        <w:rPr>
          <w:rFonts w:ascii="Arial" w:eastAsia="標楷體" w:cs="Arial" w:hint="eastAsia"/>
          <w:sz w:val="28"/>
        </w:rPr>
        <w:t>因資料庫欄位容量有限，</w:t>
      </w:r>
      <w:r w:rsidR="00C92D62" w:rsidRPr="00492478">
        <w:rPr>
          <w:rFonts w:ascii="Arial" w:eastAsia="標楷體" w:cs="Arial" w:hint="eastAsia"/>
          <w:color w:val="FF0000"/>
          <w:sz w:val="28"/>
          <w:highlight w:val="yellow"/>
        </w:rPr>
        <w:t>請不要超過</w:t>
      </w:r>
      <w:r w:rsidR="003B6827" w:rsidRPr="00492478">
        <w:rPr>
          <w:rFonts w:ascii="Arial" w:eastAsia="標楷體" w:cs="Arial" w:hint="eastAsia"/>
          <w:color w:val="FF0000"/>
          <w:sz w:val="28"/>
          <w:highlight w:val="yellow"/>
        </w:rPr>
        <w:t>4</w:t>
      </w:r>
      <w:r w:rsidR="00C92D62" w:rsidRPr="00492478">
        <w:rPr>
          <w:rFonts w:ascii="Arial" w:eastAsia="標楷體" w:cs="Arial" w:hint="eastAsia"/>
          <w:color w:val="FF0000"/>
          <w:sz w:val="28"/>
          <w:highlight w:val="yellow"/>
        </w:rPr>
        <w:t>頁</w:t>
      </w:r>
      <w:r w:rsidR="00C92D62">
        <w:rPr>
          <w:rFonts w:ascii="Arial" w:eastAsia="標楷體" w:cs="Arial" w:hint="eastAsia"/>
          <w:sz w:val="28"/>
        </w:rPr>
        <w:t>，</w:t>
      </w:r>
      <w:r w:rsidR="00042C2A" w:rsidRPr="005E2778">
        <w:rPr>
          <w:rFonts w:ascii="Arial" w:eastAsia="標楷體" w:cs="Arial" w:hint="eastAsia"/>
          <w:sz w:val="28"/>
        </w:rPr>
        <w:t>並</w:t>
      </w:r>
      <w:r w:rsidR="00402645" w:rsidRPr="005E2778">
        <w:rPr>
          <w:rFonts w:ascii="Arial" w:eastAsia="標楷體" w:cs="Arial"/>
          <w:sz w:val="28"/>
        </w:rPr>
        <w:t>將完成電子檔案直接寄至</w:t>
      </w:r>
      <w:r w:rsidR="00402645" w:rsidRPr="005E2778">
        <w:rPr>
          <w:rFonts w:ascii="Arial" w:eastAsia="標楷體" w:hAnsi="Arial" w:cs="Arial"/>
          <w:sz w:val="28"/>
        </w:rPr>
        <w:t xml:space="preserve"> </w:t>
      </w:r>
      <w:hyperlink r:id="rId7" w:history="1">
        <w:r w:rsidR="001B1E4A" w:rsidRPr="005E2778">
          <w:rPr>
            <w:rFonts w:ascii="Arial" w:hAnsi="Arial" w:cs="Arial"/>
            <w:color w:val="0000CC"/>
            <w:u w:val="single"/>
          </w:rPr>
          <w:t>tcvghtc.pt@vghtc.gov.tw</w:t>
        </w:r>
      </w:hyperlink>
      <w:r w:rsidR="001B1E4A" w:rsidRPr="005E2778">
        <w:rPr>
          <w:rFonts w:ascii="Arial" w:eastAsia="標楷體" w:hAnsi="Arial" w:cs="Arial"/>
          <w:sz w:val="28"/>
        </w:rPr>
        <w:t xml:space="preserve"> </w:t>
      </w:r>
      <w:r w:rsidR="00402645" w:rsidRPr="005E2778">
        <w:rPr>
          <w:rFonts w:ascii="Arial" w:eastAsia="標楷體" w:cs="Arial"/>
          <w:sz w:val="28"/>
        </w:rPr>
        <w:t>，撰寫上如有疑問，請</w:t>
      </w:r>
      <w:r w:rsidR="00561CD9">
        <w:rPr>
          <w:rFonts w:ascii="Arial" w:eastAsia="標楷體" w:cs="Arial" w:hint="eastAsia"/>
          <w:sz w:val="28"/>
        </w:rPr>
        <w:t>致</w:t>
      </w:r>
      <w:r w:rsidR="00402645" w:rsidRPr="005E2778">
        <w:rPr>
          <w:rFonts w:ascii="Arial" w:eastAsia="標楷體" w:cs="Arial"/>
          <w:sz w:val="28"/>
        </w:rPr>
        <w:t>電</w:t>
      </w:r>
      <w:r w:rsidR="00402645" w:rsidRPr="005E2778">
        <w:rPr>
          <w:rFonts w:ascii="Arial" w:eastAsia="標楷體" w:hAnsi="Arial" w:cs="Arial"/>
          <w:sz w:val="28"/>
        </w:rPr>
        <w:t>04-23592525</w:t>
      </w:r>
      <w:r w:rsidR="00402645" w:rsidRPr="005E2778">
        <w:rPr>
          <w:rFonts w:ascii="Arial" w:eastAsia="標楷體" w:cs="Arial"/>
          <w:sz w:val="28"/>
        </w:rPr>
        <w:t>轉</w:t>
      </w:r>
      <w:r w:rsidR="00402645" w:rsidRPr="005E2778">
        <w:rPr>
          <w:rFonts w:ascii="Arial" w:eastAsia="標楷體" w:hAnsi="Arial" w:cs="Arial"/>
          <w:sz w:val="28"/>
        </w:rPr>
        <w:t>46</w:t>
      </w:r>
      <w:r w:rsidR="005E6E2F">
        <w:rPr>
          <w:rFonts w:ascii="Arial" w:eastAsia="標楷體" w:hAnsi="Arial" w:cs="Arial" w:hint="eastAsia"/>
          <w:sz w:val="28"/>
        </w:rPr>
        <w:t>39</w:t>
      </w:r>
      <w:r w:rsidR="005E6E2F">
        <w:rPr>
          <w:rFonts w:ascii="Arial" w:eastAsia="標楷體" w:cs="Arial" w:hint="eastAsia"/>
          <w:sz w:val="28"/>
        </w:rPr>
        <w:t>廖婕羽藥師</w:t>
      </w:r>
      <w:r w:rsidR="00402645" w:rsidRPr="005E2778">
        <w:rPr>
          <w:rFonts w:ascii="Arial" w:eastAsia="標楷體" w:cs="Arial"/>
          <w:sz w:val="28"/>
        </w:rPr>
        <w:t>。</w:t>
      </w:r>
    </w:p>
    <w:p w:rsidR="00960A78" w:rsidRPr="00960A78" w:rsidRDefault="00E45AEB" w:rsidP="00960A78">
      <w:pPr>
        <w:pStyle w:val="ab"/>
        <w:widowControl/>
        <w:numPr>
          <w:ilvl w:val="0"/>
          <w:numId w:val="8"/>
        </w:numPr>
        <w:spacing w:line="400" w:lineRule="exact"/>
        <w:ind w:leftChars="0"/>
        <w:rPr>
          <w:rFonts w:ascii="Arial" w:eastAsia="標楷體" w:cs="Arial"/>
          <w:sz w:val="28"/>
        </w:rPr>
      </w:pPr>
      <w:r w:rsidRPr="00E45AEB">
        <w:rPr>
          <w:rFonts w:ascii="Arial" w:eastAsia="標楷體" w:cs="Arial"/>
          <w:sz w:val="28"/>
        </w:rPr>
        <w:t>有特殊使用方法</w:t>
      </w:r>
      <w:r>
        <w:rPr>
          <w:rFonts w:ascii="Arial" w:eastAsia="標楷體" w:cs="Arial" w:hint="eastAsia"/>
          <w:sz w:val="28"/>
        </w:rPr>
        <w:t>之藥品</w:t>
      </w:r>
      <w:r w:rsidRPr="00E45AEB">
        <w:rPr>
          <w:rFonts w:ascii="Arial" w:eastAsia="標楷體" w:cs="Arial"/>
          <w:sz w:val="28"/>
        </w:rPr>
        <w:t>如：吸入劑</w:t>
      </w:r>
      <w:r>
        <w:rPr>
          <w:rFonts w:ascii="Arial" w:eastAsia="標楷體" w:cs="Arial" w:hint="eastAsia"/>
          <w:sz w:val="28"/>
        </w:rPr>
        <w:t>、</w:t>
      </w:r>
      <w:proofErr w:type="gramStart"/>
      <w:r>
        <w:rPr>
          <w:rFonts w:ascii="Arial" w:eastAsia="標楷體" w:cs="Arial" w:hint="eastAsia"/>
          <w:sz w:val="28"/>
        </w:rPr>
        <w:t>筆針</w:t>
      </w:r>
      <w:r w:rsidRPr="00E45AEB">
        <w:rPr>
          <w:rFonts w:ascii="Arial" w:eastAsia="標楷體" w:cs="Arial"/>
          <w:sz w:val="28"/>
        </w:rPr>
        <w:t>等</w:t>
      </w:r>
      <w:proofErr w:type="gramEnd"/>
      <w:r w:rsidRPr="00E45AEB">
        <w:rPr>
          <w:rFonts w:ascii="Arial" w:eastAsia="標楷體" w:cs="Arial"/>
          <w:sz w:val="28"/>
        </w:rPr>
        <w:t>，請檢附</w:t>
      </w:r>
      <w:r w:rsidRPr="00E45AEB">
        <w:rPr>
          <w:rFonts w:ascii="Arial" w:eastAsia="標楷體" w:cs="Arial"/>
          <w:b/>
          <w:sz w:val="28"/>
          <w:u w:val="single"/>
        </w:rPr>
        <w:t>中文</w:t>
      </w:r>
      <w:r w:rsidRPr="00E45AEB">
        <w:rPr>
          <w:rFonts w:ascii="Arial" w:eastAsia="標楷體" w:cs="Arial" w:hint="eastAsia"/>
          <w:b/>
          <w:sz w:val="28"/>
          <w:u w:val="single"/>
        </w:rPr>
        <w:t>衛教</w:t>
      </w:r>
      <w:r w:rsidRPr="00E45AEB">
        <w:rPr>
          <w:rFonts w:ascii="Arial" w:eastAsia="標楷體" w:cs="Arial"/>
          <w:b/>
          <w:sz w:val="28"/>
          <w:u w:val="single"/>
        </w:rPr>
        <w:t>單張說明</w:t>
      </w:r>
      <w:r w:rsidRPr="00E45AEB">
        <w:rPr>
          <w:rFonts w:ascii="Arial" w:eastAsia="標楷體" w:cs="Arial"/>
          <w:sz w:val="28"/>
        </w:rPr>
        <w:t>或</w:t>
      </w:r>
      <w:r w:rsidRPr="00E45AEB">
        <w:rPr>
          <w:rFonts w:ascii="Arial" w:eastAsia="標楷體" w:cs="Arial" w:hint="eastAsia"/>
          <w:b/>
          <w:sz w:val="28"/>
          <w:u w:val="single"/>
        </w:rPr>
        <w:t>操作</w:t>
      </w:r>
      <w:r w:rsidRPr="00E45AEB">
        <w:rPr>
          <w:rFonts w:ascii="Arial" w:eastAsia="標楷體" w:cs="Arial"/>
          <w:b/>
          <w:sz w:val="28"/>
          <w:u w:val="single"/>
        </w:rPr>
        <w:t>影片</w:t>
      </w:r>
      <w:r>
        <w:rPr>
          <w:rFonts w:ascii="Arial" w:eastAsia="標楷體" w:cs="Arial" w:hint="eastAsia"/>
          <w:sz w:val="28"/>
        </w:rPr>
        <w:t>。</w:t>
      </w:r>
    </w:p>
    <w:tbl>
      <w:tblPr>
        <w:tblpPr w:leftFromText="181" w:rightFromText="181" w:vertAnchor="text" w:horzAnchor="margin" w:tblpXSpec="center" w:tblpY="3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986"/>
      </w:tblGrid>
      <w:tr w:rsidR="00042C2A" w:rsidRPr="00042C2A" w:rsidTr="003D1B7C">
        <w:tc>
          <w:tcPr>
            <w:tcW w:w="2376" w:type="dxa"/>
            <w:shd w:val="clear" w:color="auto" w:fill="FFCC99"/>
          </w:tcPr>
          <w:p w:rsidR="00042C2A" w:rsidRPr="00042C2A" w:rsidRDefault="00042C2A" w:rsidP="0021724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42C2A">
              <w:rPr>
                <w:rFonts w:ascii="Arial" w:eastAsia="標楷體" w:hAnsi="標楷體" w:cs="Arial"/>
                <w:b/>
              </w:rPr>
              <w:t>藥品手冊欄位</w:t>
            </w:r>
          </w:p>
        </w:tc>
        <w:tc>
          <w:tcPr>
            <w:tcW w:w="5986" w:type="dxa"/>
            <w:shd w:val="clear" w:color="auto" w:fill="FFCC99"/>
          </w:tcPr>
          <w:p w:rsidR="00042C2A" w:rsidRPr="00042C2A" w:rsidRDefault="00042C2A" w:rsidP="00217240">
            <w:pPr>
              <w:widowControl/>
              <w:jc w:val="center"/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  <w:r w:rsidRPr="00042C2A">
              <w:rPr>
                <w:rFonts w:ascii="Arial" w:eastAsia="標楷體" w:hAnsi="標楷體" w:cs="Arial"/>
                <w:b/>
                <w:color w:val="000000"/>
              </w:rPr>
              <w:t>資料內容</w:t>
            </w:r>
          </w:p>
        </w:tc>
      </w:tr>
      <w:tr w:rsidR="00042C2A" w:rsidRPr="00042C2A" w:rsidTr="003D1B7C">
        <w:tc>
          <w:tcPr>
            <w:tcW w:w="2376" w:type="dxa"/>
            <w:shd w:val="clear" w:color="auto" w:fill="CCFFFF"/>
          </w:tcPr>
          <w:p w:rsidR="00042C2A" w:rsidRPr="00042C2A" w:rsidRDefault="00042C2A" w:rsidP="0021724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42C2A">
              <w:rPr>
                <w:rFonts w:ascii="Arial" w:eastAsia="標楷體" w:hAnsi="標楷體" w:cs="Arial"/>
                <w:b/>
              </w:rPr>
              <w:t>英文商品名</w:t>
            </w:r>
          </w:p>
        </w:tc>
        <w:tc>
          <w:tcPr>
            <w:tcW w:w="5986" w:type="dxa"/>
          </w:tcPr>
          <w:p w:rsidR="00042C2A" w:rsidRPr="00042C2A" w:rsidRDefault="00D27711" w:rsidP="00217240">
            <w:pPr>
              <w:widowControl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proofErr w:type="spellStart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>Sevatrim</w:t>
            </w:r>
            <w:proofErr w:type="spellEnd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>Inj</w:t>
            </w:r>
            <w:proofErr w:type="spellEnd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5ml</w:t>
            </w:r>
          </w:p>
        </w:tc>
      </w:tr>
      <w:tr w:rsidR="00042C2A" w:rsidRPr="00042C2A" w:rsidTr="003D1B7C">
        <w:tc>
          <w:tcPr>
            <w:tcW w:w="2376" w:type="dxa"/>
            <w:shd w:val="clear" w:color="auto" w:fill="CCFFFF"/>
          </w:tcPr>
          <w:p w:rsidR="00042C2A" w:rsidRPr="00042C2A" w:rsidRDefault="00042C2A" w:rsidP="0021724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42C2A">
              <w:rPr>
                <w:rFonts w:ascii="Arial" w:eastAsia="標楷體" w:hAnsi="標楷體" w:cs="Arial"/>
                <w:b/>
              </w:rPr>
              <w:t>中文商品名</w:t>
            </w:r>
          </w:p>
        </w:tc>
        <w:tc>
          <w:tcPr>
            <w:tcW w:w="5986" w:type="dxa"/>
          </w:tcPr>
          <w:p w:rsidR="00042C2A" w:rsidRPr="00042C2A" w:rsidRDefault="00042C2A" w:rsidP="00217240">
            <w:pPr>
              <w:widowControl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042C2A">
              <w:rPr>
                <w:rFonts w:ascii="Arial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雪白淨注射液</w:t>
            </w:r>
          </w:p>
        </w:tc>
      </w:tr>
      <w:tr w:rsidR="00042C2A" w:rsidRPr="00042C2A" w:rsidTr="003D1B7C">
        <w:tc>
          <w:tcPr>
            <w:tcW w:w="2376" w:type="dxa"/>
            <w:shd w:val="clear" w:color="auto" w:fill="CCFFFF"/>
          </w:tcPr>
          <w:p w:rsidR="00042C2A" w:rsidRPr="00042C2A" w:rsidRDefault="00042C2A" w:rsidP="0021724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42C2A">
              <w:rPr>
                <w:rFonts w:ascii="Arial" w:eastAsia="標楷體" w:hAnsi="標楷體" w:cs="Arial"/>
                <w:b/>
              </w:rPr>
              <w:t>成分規格</w:t>
            </w:r>
          </w:p>
        </w:tc>
        <w:tc>
          <w:tcPr>
            <w:tcW w:w="5986" w:type="dxa"/>
          </w:tcPr>
          <w:p w:rsidR="00042C2A" w:rsidRPr="00042C2A" w:rsidRDefault="00042C2A" w:rsidP="00217240">
            <w:pPr>
              <w:widowControl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Inj. </w:t>
            </w:r>
            <w:proofErr w:type="spellStart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>Trimethoprim</w:t>
            </w:r>
            <w:proofErr w:type="spellEnd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80 </w:t>
            </w:r>
            <w:proofErr w:type="spellStart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>mg+,Sulfamethoxazole</w:t>
            </w:r>
            <w:proofErr w:type="spellEnd"/>
            <w:r w:rsidRPr="00042C2A"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400 mg/amp</w:t>
            </w:r>
          </w:p>
        </w:tc>
      </w:tr>
    </w:tbl>
    <w:p w:rsidR="00042C2A" w:rsidRDefault="00042C2A" w:rsidP="00042C2A">
      <w:pPr>
        <w:widowControl/>
        <w:spacing w:line="400" w:lineRule="exact"/>
        <w:ind w:left="357"/>
        <w:rPr>
          <w:rFonts w:ascii="Arial" w:eastAsia="標楷體" w:hAnsi="標楷體" w:cs="Arial"/>
          <w:b/>
          <w:sz w:val="40"/>
          <w:szCs w:val="40"/>
        </w:rPr>
      </w:pPr>
    </w:p>
    <w:p w:rsidR="00042C2A" w:rsidRDefault="00042C2A" w:rsidP="00042C2A">
      <w:pPr>
        <w:widowControl/>
        <w:spacing w:line="400" w:lineRule="exact"/>
        <w:ind w:left="357"/>
        <w:rPr>
          <w:rFonts w:ascii="Arial" w:eastAsia="標楷體" w:hAnsi="標楷體" w:cs="Arial" w:hint="eastAsia"/>
          <w:b/>
          <w:sz w:val="40"/>
          <w:szCs w:val="40"/>
        </w:rPr>
      </w:pPr>
    </w:p>
    <w:p w:rsidR="004C0912" w:rsidRDefault="004C0912" w:rsidP="00042C2A">
      <w:pPr>
        <w:widowControl/>
        <w:spacing w:line="400" w:lineRule="exact"/>
        <w:ind w:left="357"/>
        <w:rPr>
          <w:rFonts w:ascii="Arial" w:eastAsia="標楷體" w:hAnsi="標楷體" w:cs="Arial" w:hint="eastAsia"/>
          <w:b/>
          <w:sz w:val="40"/>
          <w:szCs w:val="40"/>
        </w:rPr>
      </w:pPr>
    </w:p>
    <w:p w:rsidR="004C0912" w:rsidRDefault="004C0912" w:rsidP="00042C2A">
      <w:pPr>
        <w:widowControl/>
        <w:spacing w:line="400" w:lineRule="exact"/>
        <w:ind w:left="357"/>
        <w:rPr>
          <w:rFonts w:ascii="Arial" w:eastAsia="標楷體" w:hAnsi="標楷體" w:cs="Arial" w:hint="eastAsia"/>
          <w:b/>
          <w:sz w:val="40"/>
          <w:szCs w:val="40"/>
        </w:rPr>
      </w:pPr>
    </w:p>
    <w:p w:rsidR="004C0912" w:rsidRDefault="004C0912" w:rsidP="00042C2A">
      <w:pPr>
        <w:widowControl/>
        <w:spacing w:line="400" w:lineRule="exact"/>
        <w:ind w:left="357"/>
        <w:rPr>
          <w:rFonts w:ascii="Arial" w:eastAsia="標楷體" w:hAnsi="標楷體" w:cs="Arial"/>
          <w:b/>
          <w:sz w:val="40"/>
          <w:szCs w:val="40"/>
        </w:rPr>
      </w:pPr>
    </w:p>
    <w:tbl>
      <w:tblPr>
        <w:tblpPr w:leftFromText="181" w:rightFromText="181" w:vertAnchor="text" w:horzAnchor="margin" w:tblpY="1"/>
        <w:tblOverlap w:val="never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271"/>
        <w:gridCol w:w="7981"/>
      </w:tblGrid>
      <w:tr w:rsidR="00E45AEB" w:rsidRPr="00042C2A" w:rsidTr="00217240">
        <w:trPr>
          <w:cantSplit/>
          <w:trHeight w:val="132"/>
        </w:trPr>
        <w:tc>
          <w:tcPr>
            <w:tcW w:w="227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CC99"/>
          </w:tcPr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 w:rsidRPr="00042C2A">
              <w:rPr>
                <w:rFonts w:ascii="標楷體" w:eastAsia="標楷體" w:hAnsi="標楷體" w:cs="Arial" w:hint="eastAsia"/>
                <w:b/>
              </w:rPr>
              <w:t>藥品手冊欄位</w:t>
            </w:r>
          </w:p>
        </w:tc>
        <w:tc>
          <w:tcPr>
            <w:tcW w:w="7981" w:type="dxa"/>
            <w:shd w:val="clear" w:color="auto" w:fill="FFCC99"/>
          </w:tcPr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 w:cs="Arial"/>
                <w:color w:val="000000"/>
                <w:shd w:val="clear" w:color="auto" w:fill="F2F2F2"/>
              </w:rPr>
            </w:pPr>
            <w:r w:rsidRPr="00042C2A">
              <w:rPr>
                <w:rFonts w:ascii="標楷體" w:eastAsia="標楷體" w:hAnsi="標楷體" w:cs="Arial" w:hint="eastAsia"/>
                <w:b/>
                <w:color w:val="000000"/>
              </w:rPr>
              <w:t xml:space="preserve">資料內容 </w:t>
            </w:r>
            <w:r w:rsidRPr="00042C2A">
              <w:rPr>
                <w:rFonts w:ascii="標楷體" w:eastAsia="標楷體" w:hAnsi="標楷體" w:cs="Arial" w:hint="eastAsia"/>
                <w:color w:val="FF0000"/>
                <w:highlight w:val="yellow"/>
                <w:shd w:val="clear" w:color="auto" w:fill="F2F2F2"/>
              </w:rPr>
              <w:t>(支援表格、字形色彩、粗體、超連結)</w:t>
            </w:r>
          </w:p>
        </w:tc>
      </w:tr>
      <w:tr w:rsidR="00E45AEB" w:rsidRPr="00042C2A" w:rsidTr="00217240">
        <w:trPr>
          <w:trHeight w:val="2665"/>
        </w:trPr>
        <w:tc>
          <w:tcPr>
            <w:tcW w:w="227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CFFCC"/>
          </w:tcPr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Indication</w:t>
            </w:r>
          </w:p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適應症</w:t>
            </w:r>
          </w:p>
        </w:tc>
        <w:tc>
          <w:tcPr>
            <w:tcW w:w="7981" w:type="dxa"/>
          </w:tcPr>
          <w:p w:rsidR="00E45AEB" w:rsidRPr="004C0912" w:rsidRDefault="00217240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r w:rsidRPr="00217240">
              <w:rPr>
                <w:rFonts w:ascii="Arial" w:eastAsia="標楷體" w:hAnsi="Arial" w:cs="Arial"/>
                <w:color w:val="000000"/>
              </w:rPr>
              <w:t xml:space="preserve">Treatment of UTI due to Escherichia coli,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Klebsiella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and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Enterobacter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sp,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Morganella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morganii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, Proteus mirabilis and Proteus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vulgaris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; acute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otitis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media; acute exacerbations of COPD due to susceptible strains of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Haemophilus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influenzae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or Streptococcus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pneumoniae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; treatment and prophylaxis of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Pneumocystis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pneumonia (PCP); traveler's diarrhea due to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enterotoxigenic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E. coli; treatment of Shigellosis caused by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Shigella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flexneri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or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Shigella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 xml:space="preserve"> </w:t>
            </w:r>
            <w:proofErr w:type="spellStart"/>
            <w:r w:rsidRPr="00217240">
              <w:rPr>
                <w:rFonts w:ascii="Arial" w:eastAsia="標楷體" w:hAnsi="Arial" w:cs="Arial"/>
                <w:color w:val="000000"/>
              </w:rPr>
              <w:t>sonnei</w:t>
            </w:r>
            <w:proofErr w:type="spellEnd"/>
            <w:r w:rsidRPr="00217240">
              <w:rPr>
                <w:rFonts w:ascii="Arial" w:eastAsia="標楷體" w:hAnsi="Arial" w:cs="Arial"/>
                <w:color w:val="000000"/>
              </w:rPr>
              <w:t>.</w:t>
            </w:r>
            <w:r w:rsidR="00E45AEB" w:rsidRPr="004C0912">
              <w:rPr>
                <w:rFonts w:ascii="Arial" w:eastAsia="標楷體" w:hAnsi="標楷體" w:cs="Arial"/>
                <w:color w:val="FF0000"/>
              </w:rPr>
              <w:t>由革蘭氏陽性菌及陰性菌所引起之呼吸道、胃腸道及尿道感染。</w:t>
            </w:r>
            <w:r w:rsidR="00E45AEB" w:rsidRPr="004C0912">
              <w:rPr>
                <w:rFonts w:ascii="Arial" w:eastAsia="標楷體" w:hAnsi="Arial" w:cs="Arial"/>
                <w:color w:val="FF0000"/>
                <w:highlight w:val="yellow"/>
              </w:rPr>
              <w:t>(</w:t>
            </w:r>
            <w:r w:rsidR="00E45AEB" w:rsidRPr="004C0912">
              <w:rPr>
                <w:rFonts w:ascii="Arial" w:eastAsia="標楷體" w:hAnsi="標楷體" w:cs="Arial"/>
                <w:color w:val="FF0000"/>
                <w:highlight w:val="yellow"/>
              </w:rPr>
              <w:t>補上</w:t>
            </w:r>
            <w:r w:rsidR="00E45AEB" w:rsidRPr="004C0912">
              <w:rPr>
                <w:rFonts w:ascii="Arial" w:eastAsia="標楷體" w:hAnsi="Arial" w:cs="Arial"/>
                <w:color w:val="FF0000"/>
                <w:highlight w:val="yellow"/>
              </w:rPr>
              <w:t>TFDA</w:t>
            </w:r>
            <w:r w:rsidR="00E45AEB" w:rsidRPr="004C0912">
              <w:rPr>
                <w:rFonts w:ascii="Arial" w:eastAsia="標楷體" w:hAnsi="標楷體" w:cs="Arial"/>
                <w:color w:val="FF0000"/>
                <w:highlight w:val="yellow"/>
              </w:rPr>
              <w:t>中文適應症</w:t>
            </w:r>
            <w:r w:rsidR="00E45AEB" w:rsidRPr="004C0912">
              <w:rPr>
                <w:rFonts w:ascii="Arial" w:eastAsia="標楷體" w:hAnsi="Arial" w:cs="Arial"/>
                <w:color w:val="FF0000"/>
                <w:highlight w:val="yellow"/>
              </w:rPr>
              <w:t>)</w:t>
            </w:r>
          </w:p>
        </w:tc>
      </w:tr>
      <w:tr w:rsidR="00E45AEB" w:rsidRPr="00042C2A" w:rsidTr="00217240">
        <w:trPr>
          <w:trHeight w:val="1531"/>
        </w:trPr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Pharmacology</w:t>
            </w:r>
          </w:p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藥理</w:t>
            </w:r>
          </w:p>
        </w:tc>
        <w:tc>
          <w:tcPr>
            <w:tcW w:w="7981" w:type="dxa"/>
          </w:tcPr>
          <w:p w:rsidR="00E45AEB" w:rsidRPr="004C0912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proofErr w:type="spellStart"/>
            <w:proofErr w:type="gramStart"/>
            <w:r w:rsidRPr="004C0912">
              <w:rPr>
                <w:rFonts w:ascii="Arial" w:eastAsia="標楷體" w:hAnsi="Arial" w:cs="Arial"/>
                <w:color w:val="000000"/>
              </w:rPr>
              <w:t>Sulfamethoxazole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>(</w:t>
            </w:r>
            <w:proofErr w:type="gramEnd"/>
            <w:r w:rsidRPr="004C0912">
              <w:rPr>
                <w:rFonts w:ascii="Arial" w:eastAsia="標楷體" w:hAnsi="Arial" w:cs="Arial"/>
                <w:color w:val="000000"/>
              </w:rPr>
              <w:t xml:space="preserve">SMX ) interferes with bacterial folic acid synthesis and growth via inhibition of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dihydrofolic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acid formation from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para-aminobenzoic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acid;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trimethoprim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(TMP ) inhibits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dihydrofolic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acid reduction to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tetrahydrofolate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resulting in sequential inhibition of enzymes of the folic acid pathway.</w:t>
            </w:r>
          </w:p>
        </w:tc>
      </w:tr>
      <w:tr w:rsidR="00E45AEB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Pharmacokinetics</w:t>
            </w:r>
          </w:p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</w:rPr>
            </w:pPr>
            <w:proofErr w:type="gramStart"/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藥動</w:t>
            </w:r>
            <w:proofErr w:type="gramEnd"/>
          </w:p>
        </w:tc>
        <w:tc>
          <w:tcPr>
            <w:tcW w:w="7981" w:type="dxa"/>
          </w:tcPr>
          <w:p w:rsidR="00E45AEB" w:rsidRPr="004C0912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r w:rsidRPr="004C0912">
              <w:rPr>
                <w:rFonts w:ascii="Arial" w:eastAsia="標楷體" w:hAnsi="Arial" w:cs="Arial"/>
                <w:color w:val="000000"/>
                <w:u w:val="single"/>
              </w:rPr>
              <w:t>Absorption</w:t>
            </w:r>
            <w:r w:rsidRPr="004C0912">
              <w:rPr>
                <w:rFonts w:ascii="Arial" w:eastAsia="標楷體" w:hAnsi="Arial" w:cs="Arial"/>
                <w:color w:val="000000"/>
              </w:rPr>
              <w:t>: Rapid; almost completely (90% to 100%); </w:t>
            </w:r>
            <w:r w:rsidRPr="004C0912">
              <w:rPr>
                <w:rFonts w:ascii="Arial" w:eastAsia="標楷體" w:hAnsi="Arial" w:cs="Arial"/>
                <w:color w:val="000000"/>
                <w:u w:val="single"/>
              </w:rPr>
              <w:t>Excretion</w:t>
            </w:r>
            <w:r w:rsidRPr="004C0912">
              <w:rPr>
                <w:rFonts w:ascii="Arial" w:eastAsia="標楷體" w:hAnsi="Arial" w:cs="Arial"/>
                <w:color w:val="000000"/>
              </w:rPr>
              <w:t>: Both are excreted in urine as metabolites and unchanged drug;</w:t>
            </w:r>
            <w:r w:rsidRPr="004C0912">
              <w:rPr>
                <w:rFonts w:ascii="Arial" w:eastAsia="標楷體" w:hAnsi="Arial" w:cs="Arial"/>
                <w:color w:val="25282A"/>
              </w:rPr>
              <w:t xml:space="preserve"> </w:t>
            </w:r>
            <w:r w:rsidRPr="004C0912">
              <w:rPr>
                <w:rFonts w:ascii="Arial" w:eastAsia="標楷體" w:hAnsi="Arial" w:cs="Arial"/>
                <w:color w:val="25282A"/>
                <w:u w:val="single"/>
              </w:rPr>
              <w:t>Elimination half-life</w:t>
            </w:r>
            <w:r w:rsidRPr="004C0912">
              <w:rPr>
                <w:rFonts w:ascii="Arial" w:eastAsia="標楷體" w:hAnsi="Arial" w:cs="Arial"/>
                <w:color w:val="25282A"/>
              </w:rPr>
              <w:t xml:space="preserve">: </w:t>
            </w:r>
            <w:r w:rsidRPr="004C0912">
              <w:rPr>
                <w:rFonts w:ascii="Arial" w:eastAsia="標楷體" w:hAnsi="Arial" w:cs="Arial"/>
                <w:color w:val="000000"/>
              </w:rPr>
              <w:t>SMX: 9 to 12 hrs, prolonged in renal failure; TMP: Adults: 6 to 11 hrs, Prolonged in renal failure.</w:t>
            </w:r>
          </w:p>
        </w:tc>
      </w:tr>
      <w:tr w:rsidR="00E45AEB" w:rsidRPr="00042C2A" w:rsidTr="00217240">
        <w:trPr>
          <w:trHeight w:val="1128"/>
        </w:trPr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Contraindication</w:t>
            </w:r>
          </w:p>
          <w:p w:rsidR="00E45AEB" w:rsidRPr="00042C2A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禁忌症</w:t>
            </w:r>
          </w:p>
        </w:tc>
        <w:tc>
          <w:tcPr>
            <w:tcW w:w="7981" w:type="dxa"/>
          </w:tcPr>
          <w:p w:rsidR="00E45AEB" w:rsidRPr="004C0912" w:rsidRDefault="00E45AEB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r w:rsidRPr="004C0912">
              <w:rPr>
                <w:rFonts w:ascii="Arial" w:eastAsia="標楷體" w:hAnsi="Arial" w:cs="Arial"/>
                <w:color w:val="000000"/>
              </w:rPr>
              <w:t xml:space="preserve">Hypersensitivity to any sulfa drug,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trimethoprim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, or any component of the formulation; history of drug induced-immune thrombocytopenia with use of sulfonamides or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trimethoprim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;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megaloblastic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anemia due to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folate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deficiency; infants &lt;2 months (manufacturer's labeling), infants &lt;4 weeks (CDC 2009); marked hepatic damage or severe renal disease (if patient not monitored); concomitant administration with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dofetilide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>.</w:t>
            </w:r>
            <w:r w:rsidRPr="004C0912">
              <w:rPr>
                <w:rFonts w:ascii="Arial" w:eastAsia="標楷體" w:hAnsi="Arial" w:cs="Arial"/>
              </w:rPr>
              <w:t xml:space="preserve"> Pregnancy, lactation.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Pregnancy risk category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lastRenderedPageBreak/>
              <w:t>懷孕分類</w:t>
            </w:r>
          </w:p>
        </w:tc>
        <w:tc>
          <w:tcPr>
            <w:tcW w:w="7981" w:type="dxa"/>
          </w:tcPr>
          <w:p w:rsidR="00E47438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 w:hint="eastAsia"/>
              </w:rPr>
            </w:pPr>
            <w:r w:rsidRPr="004C0912">
              <w:rPr>
                <w:rFonts w:ascii="Arial" w:eastAsia="標楷體" w:hAnsi="Arial" w:cs="Arial"/>
              </w:rPr>
              <w:lastRenderedPageBreak/>
              <w:t>C</w:t>
            </w:r>
          </w:p>
          <w:p w:rsidR="00E47438" w:rsidRDefault="00E47438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 w:hint="eastAsia"/>
              </w:rPr>
            </w:pPr>
          </w:p>
          <w:p w:rsidR="00E47438" w:rsidRPr="004C0912" w:rsidRDefault="00E47438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lastRenderedPageBreak/>
              <w:t>Breast milk feeding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  <w:color w:val="000000"/>
                <w:shd w:val="clear" w:color="auto" w:fill="CCFFCC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哺乳分類</w:t>
            </w:r>
          </w:p>
        </w:tc>
        <w:tc>
          <w:tcPr>
            <w:tcW w:w="7981" w:type="dxa"/>
          </w:tcPr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Sulfamethoxazole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and 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</w:rPr>
              <w:t>trimethoprim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</w:rPr>
              <w:t xml:space="preserve"> are excreted in breast milk.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Adverse effect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副作用</w:t>
            </w:r>
          </w:p>
        </w:tc>
        <w:tc>
          <w:tcPr>
            <w:tcW w:w="7981" w:type="dxa"/>
          </w:tcPr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proofErr w:type="spellStart"/>
            <w:r w:rsidRPr="004C0912">
              <w:rPr>
                <w:rFonts w:ascii="Arial" w:eastAsia="標楷體" w:hAnsi="Arial" w:cs="Arial"/>
              </w:rPr>
              <w:t>Agranulocytosis</w:t>
            </w:r>
            <w:proofErr w:type="spellEnd"/>
            <w:r w:rsidRPr="004C0912">
              <w:rPr>
                <w:rFonts w:ascii="Arial" w:eastAsia="標楷體" w:hAnsi="Arial" w:cs="Arial"/>
              </w:rPr>
              <w:t xml:space="preserve">, </w:t>
            </w:r>
            <w:proofErr w:type="spellStart"/>
            <w:r w:rsidRPr="004C0912">
              <w:rPr>
                <w:rFonts w:ascii="Arial" w:eastAsia="標楷體" w:hAnsi="Arial" w:cs="Arial"/>
              </w:rPr>
              <w:t>aplastic</w:t>
            </w:r>
            <w:proofErr w:type="spellEnd"/>
            <w:r w:rsidRPr="004C0912">
              <w:rPr>
                <w:rFonts w:ascii="Arial" w:eastAsia="標楷體" w:hAnsi="Arial" w:cs="Arial"/>
              </w:rPr>
              <w:t xml:space="preserve"> and </w:t>
            </w:r>
            <w:proofErr w:type="spellStart"/>
            <w:r w:rsidRPr="004C0912">
              <w:rPr>
                <w:rFonts w:ascii="Arial" w:eastAsia="標楷體" w:hAnsi="Arial" w:cs="Arial"/>
              </w:rPr>
              <w:t>megaloblastic</w:t>
            </w:r>
            <w:proofErr w:type="spellEnd"/>
            <w:r w:rsidRPr="004C0912">
              <w:rPr>
                <w:rFonts w:ascii="Arial" w:eastAsia="標楷體" w:hAnsi="Arial" w:cs="Arial"/>
              </w:rPr>
              <w:t xml:space="preserve"> anemia, nausea, </w:t>
            </w:r>
            <w:proofErr w:type="spellStart"/>
            <w:r w:rsidRPr="004C0912">
              <w:rPr>
                <w:rFonts w:ascii="Arial" w:eastAsia="標楷體" w:hAnsi="Arial" w:cs="Arial"/>
              </w:rPr>
              <w:t>erythema</w:t>
            </w:r>
            <w:proofErr w:type="spellEnd"/>
            <w:r w:rsidRPr="004C0912">
              <w:rPr>
                <w:rFonts w:ascii="Arial" w:eastAsia="標楷體" w:hAnsi="Arial" w:cs="Arial"/>
              </w:rPr>
              <w:t xml:space="preserve"> </w:t>
            </w:r>
            <w:proofErr w:type="spellStart"/>
            <w:r w:rsidRPr="004C0912">
              <w:rPr>
                <w:rFonts w:ascii="Arial" w:eastAsia="標楷體" w:hAnsi="Arial" w:cs="Arial"/>
              </w:rPr>
              <w:t>multiforme</w:t>
            </w:r>
            <w:proofErr w:type="spellEnd"/>
            <w:r w:rsidRPr="004C0912">
              <w:rPr>
                <w:rFonts w:ascii="Arial" w:eastAsia="標楷體" w:hAnsi="Arial" w:cs="Arial"/>
              </w:rPr>
              <w:t>, headache, and mental depression.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 w:hint="eastAsia"/>
                <w:b/>
              </w:rPr>
              <w:t>Dosage and Administration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劑量和給藥方法</w:t>
            </w:r>
          </w:p>
        </w:tc>
        <w:tc>
          <w:tcPr>
            <w:tcW w:w="7981" w:type="dxa"/>
          </w:tcPr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r w:rsidRPr="004C0912">
              <w:rPr>
                <w:rFonts w:ascii="Arial" w:eastAsia="標楷體" w:hAnsi="Arial" w:cs="Arial"/>
                <w:b/>
                <w:u w:val="single"/>
              </w:rPr>
              <w:t xml:space="preserve">IV for </w:t>
            </w:r>
            <w:r w:rsidRPr="004C0912">
              <w:rPr>
                <w:rFonts w:ascii="Arial" w:eastAsia="標楷體" w:hAnsi="Arial" w:cs="Arial"/>
                <w:b/>
                <w:i/>
                <w:u w:val="single"/>
              </w:rPr>
              <w:t xml:space="preserve">P. </w:t>
            </w:r>
            <w:proofErr w:type="spellStart"/>
            <w:r w:rsidRPr="004C0912">
              <w:rPr>
                <w:rFonts w:ascii="Arial" w:eastAsia="標楷體" w:hAnsi="Arial" w:cs="Arial"/>
                <w:b/>
                <w:i/>
                <w:u w:val="single"/>
              </w:rPr>
              <w:t>jiroveci</w:t>
            </w:r>
            <w:proofErr w:type="spellEnd"/>
            <w:r w:rsidRPr="004C0912">
              <w:rPr>
                <w:rFonts w:ascii="Arial" w:eastAsia="標楷體" w:hAnsi="Arial" w:cs="Arial"/>
                <w:b/>
                <w:u w:val="single"/>
              </w:rPr>
              <w:t xml:space="preserve"> pneumonia (PCP)</w:t>
            </w:r>
            <w:r w:rsidRPr="004C0912">
              <w:rPr>
                <w:rFonts w:ascii="Arial" w:eastAsia="標楷體" w:hAnsi="Arial" w:cs="Arial"/>
              </w:rPr>
              <w:t xml:space="preserve">: 15-20 mg/kg/day of </w:t>
            </w:r>
            <w:r w:rsidRPr="004C0912">
              <w:rPr>
                <w:rFonts w:ascii="Arial" w:eastAsia="標楷體" w:hAnsi="Arial" w:cs="Arial"/>
                <w:color w:val="000000"/>
              </w:rPr>
              <w:t>TMP and 75 mg-100 mg</w:t>
            </w:r>
            <w:r w:rsidRPr="004C0912">
              <w:rPr>
                <w:rFonts w:ascii="Arial" w:eastAsia="標楷體" w:hAnsi="Arial" w:cs="Arial"/>
              </w:rPr>
              <w:t>/kg/day</w:t>
            </w:r>
            <w:r w:rsidRPr="004C0912">
              <w:rPr>
                <w:rFonts w:ascii="Arial" w:eastAsia="標楷體" w:hAnsi="Arial" w:cs="Arial"/>
                <w:color w:val="000000"/>
              </w:rPr>
              <w:t xml:space="preserve"> of</w:t>
            </w:r>
            <w:r w:rsidRPr="004C0912">
              <w:rPr>
                <w:rFonts w:ascii="Arial" w:eastAsia="標楷體" w:hAnsi="Arial" w:cs="Arial"/>
                <w:color w:val="25282A"/>
              </w:rPr>
              <w:t xml:space="preserve"> </w:t>
            </w:r>
            <w:r w:rsidRPr="004C0912">
              <w:rPr>
                <w:rFonts w:ascii="Arial" w:eastAsia="標楷體" w:hAnsi="Arial" w:cs="Arial"/>
                <w:color w:val="000000"/>
              </w:rPr>
              <w:t>SMZ in 2-4 equally divided doses for 21 days.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P</w:t>
            </w:r>
            <w:r w:rsidRPr="00042C2A">
              <w:rPr>
                <w:rFonts w:ascii="Arial" w:hAnsi="Arial" w:cs="Arial" w:hint="eastAsia"/>
                <w:b/>
              </w:rPr>
              <w:t xml:space="preserve">ediatric Dosage </w:t>
            </w: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小兒調整劑量</w:t>
            </w:r>
          </w:p>
        </w:tc>
        <w:tc>
          <w:tcPr>
            <w:tcW w:w="7981" w:type="dxa"/>
          </w:tcPr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  <w:color w:val="000000"/>
                <w:u w:val="single"/>
              </w:rPr>
            </w:pPr>
            <w:r w:rsidRPr="004C0912">
              <w:rPr>
                <w:rFonts w:ascii="Arial" w:eastAsia="標楷體" w:hAnsi="Arial" w:cs="Arial"/>
                <w:color w:val="000000"/>
                <w:u w:val="single"/>
              </w:rPr>
              <w:t>Infants ≥2 months of age, Children, and Adolescents</w:t>
            </w:r>
            <w:r w:rsidRPr="004C0912">
              <w:rPr>
                <w:rFonts w:ascii="Arial" w:eastAsia="標楷體" w:hAnsi="Arial" w:cs="Arial"/>
                <w:color w:val="000000"/>
              </w:rPr>
              <w:t>: Oral, IV: 6 to 12 mg TMP/kg/day in divided doses every 12 hours; maximum single dose: 160 mg TMP/</w:t>
            </w:r>
            <w:proofErr w:type="gramStart"/>
            <w:r w:rsidRPr="004C0912">
              <w:rPr>
                <w:rFonts w:ascii="Arial" w:eastAsia="標楷體" w:hAnsi="Arial" w:cs="Arial"/>
                <w:color w:val="000000"/>
              </w:rPr>
              <w:t>dose .</w:t>
            </w:r>
            <w:proofErr w:type="gramEnd"/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 w:hint="eastAsia"/>
                <w:b/>
              </w:rPr>
              <w:t>Dosing in renal impairment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腎功能調整劑量</w:t>
            </w:r>
          </w:p>
        </w:tc>
        <w:tc>
          <w:tcPr>
            <w:tcW w:w="7981" w:type="dxa"/>
          </w:tcPr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4C0912">
              <w:rPr>
                <w:rFonts w:ascii="Arial" w:eastAsia="標楷體" w:hAnsi="Arial" w:cs="Arial"/>
                <w:color w:val="000000"/>
                <w:sz w:val="18"/>
                <w:szCs w:val="18"/>
              </w:rPr>
              <w:t>The following dosage adjustments are based on a usual maintenance dose of 4 to 5 mg TMP/kg every 6 hours.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2"/>
              <w:gridCol w:w="5489"/>
            </w:tblGrid>
            <w:tr w:rsidR="004C0912" w:rsidRPr="004C0912" w:rsidTr="004C0912">
              <w:tc>
                <w:tcPr>
                  <w:tcW w:w="2036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GFR 10 to 50 </w:t>
                  </w: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mL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/min</w:t>
                  </w:r>
                </w:p>
              </w:tc>
              <w:tc>
                <w:tcPr>
                  <w:tcW w:w="5840" w:type="dxa"/>
                  <w:shd w:val="clear" w:color="auto" w:fill="auto"/>
                </w:tcPr>
                <w:p w:rsidR="004C0912" w:rsidRPr="00217240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217240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4 to 5 mg TMP/kg every 12 hours</w:t>
                  </w:r>
                </w:p>
              </w:tc>
            </w:tr>
            <w:tr w:rsidR="004C0912" w:rsidRPr="004C0912" w:rsidTr="004C0912">
              <w:tc>
                <w:tcPr>
                  <w:tcW w:w="2036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GFR &lt;10 </w:t>
                  </w: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mL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/min:</w:t>
                  </w:r>
                </w:p>
              </w:tc>
              <w:tc>
                <w:tcPr>
                  <w:tcW w:w="5840" w:type="dxa"/>
                  <w:shd w:val="clear" w:color="auto" w:fill="auto"/>
                </w:tcPr>
                <w:p w:rsidR="004C0912" w:rsidRPr="00217240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Avoid use; if necessary, 2.5 to 5 mg TMP/kg every 24 hours</w:t>
                  </w:r>
                </w:p>
              </w:tc>
            </w:tr>
            <w:tr w:rsidR="004C0912" w:rsidRPr="004C0912" w:rsidTr="004C0912">
              <w:tc>
                <w:tcPr>
                  <w:tcW w:w="2036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Hemodialysis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40" w:type="dxa"/>
                  <w:shd w:val="clear" w:color="auto" w:fill="auto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2.5 to 5 mg TMP/kg every 24 hours (dose after </w:t>
                  </w: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hemodialysis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 on dialysis days)</w:t>
                  </w:r>
                </w:p>
              </w:tc>
            </w:tr>
          </w:tbl>
          <w:p w:rsidR="004C0912" w:rsidRPr="004C0912" w:rsidRDefault="004C0912" w:rsidP="00217240">
            <w:pPr>
              <w:pStyle w:val="Web"/>
              <w:spacing w:before="0" w:beforeAutospacing="0" w:after="0" w:afterAutospacing="0" w:line="280" w:lineRule="atLeast"/>
              <w:ind w:left="284" w:hanging="284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proofErr w:type="spellStart"/>
            <w:r w:rsidRPr="004C0912">
              <w:rPr>
                <w:rFonts w:ascii="Arial" w:eastAsia="標楷體" w:hAnsi="Arial" w:cs="Arial"/>
                <w:b/>
                <w:i/>
                <w:iCs/>
                <w:color w:val="000000"/>
                <w:sz w:val="18"/>
                <w:szCs w:val="18"/>
              </w:rPr>
              <w:t>Pneumocystis</w:t>
            </w:r>
            <w:proofErr w:type="spellEnd"/>
            <w:r w:rsidRPr="004C0912">
              <w:rPr>
                <w:rFonts w:ascii="Arial" w:eastAsia="標楷體" w:hAnsi="Arial" w:cs="Arial"/>
                <w:b/>
                <w:color w:val="000000"/>
                <w:sz w:val="18"/>
                <w:szCs w:val="18"/>
              </w:rPr>
              <w:t> pneumonia (PCP), treatment</w:t>
            </w:r>
            <w:r w:rsidRPr="004C0912">
              <w:rPr>
                <w:rFonts w:ascii="Arial" w:eastAsia="標楷體" w:hAnsi="Arial" w:cs="Arial"/>
                <w:color w:val="000000"/>
                <w:sz w:val="18"/>
                <w:szCs w:val="18"/>
              </w:rPr>
              <w:t>: </w:t>
            </w:r>
            <w:r w:rsidRPr="004C0912">
              <w:rPr>
                <w:rFonts w:ascii="Arial" w:eastAsia="標楷體" w:hAnsi="Arial" w:cs="Arial"/>
                <w:b/>
                <w:bCs/>
                <w:color w:val="000000"/>
                <w:sz w:val="18"/>
                <w:szCs w:val="18"/>
              </w:rPr>
              <w:t>Note:</w:t>
            </w:r>
            <w:r w:rsidRPr="004C0912">
              <w:rPr>
                <w:rFonts w:ascii="Arial" w:eastAsia="標楷體" w:hAnsi="Arial" w:cs="Arial"/>
                <w:color w:val="000000"/>
                <w:sz w:val="18"/>
                <w:szCs w:val="18"/>
              </w:rPr>
              <w:t> Renal function may be estimated using the Cockcroft-</w:t>
            </w:r>
            <w:proofErr w:type="spellStart"/>
            <w:r w:rsidRPr="004C0912">
              <w:rPr>
                <w:rFonts w:ascii="Arial" w:eastAsia="標楷體" w:hAnsi="Arial" w:cs="Arial"/>
                <w:color w:val="000000"/>
                <w:sz w:val="18"/>
                <w:szCs w:val="18"/>
              </w:rPr>
              <w:t>Gault</w:t>
            </w:r>
            <w:proofErr w:type="spellEnd"/>
            <w:r w:rsidRPr="004C0912">
              <w:rPr>
                <w:rFonts w:ascii="Arial" w:eastAsia="標楷體" w:hAnsi="Arial" w:cs="Arial"/>
                <w:color w:val="000000"/>
                <w:sz w:val="18"/>
                <w:szCs w:val="18"/>
              </w:rPr>
              <w:t xml:space="preserve"> formula for dosage adjustment purposes. The following dosage adjustments are based on a usual maintenance dose of 5 mg TMP/kg every 8 hours.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2"/>
              <w:gridCol w:w="5489"/>
            </w:tblGrid>
            <w:tr w:rsidR="004C0912" w:rsidRPr="004C0912" w:rsidTr="00211FBA">
              <w:tc>
                <w:tcPr>
                  <w:tcW w:w="2036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CrCl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 10 to 30 </w:t>
                  </w: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mL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/min</w:t>
                  </w:r>
                </w:p>
              </w:tc>
              <w:tc>
                <w:tcPr>
                  <w:tcW w:w="5840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5 mg TMP/kg every 12 hours</w:t>
                  </w:r>
                </w:p>
              </w:tc>
            </w:tr>
            <w:tr w:rsidR="004C0912" w:rsidRPr="004C0912" w:rsidTr="00211FBA">
              <w:tc>
                <w:tcPr>
                  <w:tcW w:w="2036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CrCl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 &lt;10 </w:t>
                  </w: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mL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/min</w:t>
                  </w:r>
                </w:p>
              </w:tc>
              <w:tc>
                <w:tcPr>
                  <w:tcW w:w="5840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5 mg TMP/kg every 24 hours</w:t>
                  </w:r>
                </w:p>
              </w:tc>
            </w:tr>
            <w:tr w:rsidR="004C0912" w:rsidRPr="004C0912" w:rsidTr="00211FBA">
              <w:tc>
                <w:tcPr>
                  <w:tcW w:w="2036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Hemodialysis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40" w:type="dxa"/>
                </w:tcPr>
                <w:p w:rsidR="004C0912" w:rsidRPr="004C0912" w:rsidRDefault="004C0912" w:rsidP="00217240">
                  <w:pPr>
                    <w:pStyle w:val="Web"/>
                    <w:framePr w:hSpace="181" w:wrap="around" w:vAnchor="text" w:hAnchor="margin" w:y="1"/>
                    <w:snapToGrid w:val="0"/>
                    <w:spacing w:before="0" w:beforeAutospacing="0" w:after="0" w:afterAutospacing="0" w:line="280" w:lineRule="atLeast"/>
                    <w:suppressOverlap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</w:pPr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5 mg TMP/kg once daily (dose after </w:t>
                  </w:r>
                  <w:proofErr w:type="spellStart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>hemodialysis</w:t>
                  </w:r>
                  <w:proofErr w:type="spellEnd"/>
                  <w:r w:rsidRPr="004C0912"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</w:rPr>
                    <w:t xml:space="preserve"> on dialysis days); consider therapeutic drug monitoring to optimize therapy</w:t>
                  </w:r>
                </w:p>
              </w:tc>
            </w:tr>
          </w:tbl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  <w:sz w:val="18"/>
                <w:szCs w:val="18"/>
              </w:rPr>
            </w:pP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 w:hint="eastAsia"/>
                <w:b/>
              </w:rPr>
              <w:t>Dosing in hepatic impairment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肝功能調整劑量</w:t>
            </w:r>
          </w:p>
        </w:tc>
        <w:tc>
          <w:tcPr>
            <w:tcW w:w="7981" w:type="dxa"/>
          </w:tcPr>
          <w:p w:rsidR="004C0912" w:rsidRPr="004C0912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  <w:sz w:val="18"/>
                <w:szCs w:val="18"/>
              </w:rPr>
            </w:pPr>
            <w:r w:rsidRPr="004C0912">
              <w:rPr>
                <w:rFonts w:ascii="Arial" w:eastAsia="標楷體" w:hAnsi="Arial" w:cs="Arial"/>
                <w:color w:val="000000"/>
                <w:sz w:val="18"/>
                <w:szCs w:val="18"/>
              </w:rPr>
              <w:t>Use with caution; use is contraindicated in cases of marked hepatic damage.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注意事項</w:t>
            </w:r>
          </w:p>
        </w:tc>
        <w:tc>
          <w:tcPr>
            <w:tcW w:w="7981" w:type="dxa"/>
          </w:tcPr>
          <w:p w:rsidR="004C0912" w:rsidRPr="00042C2A" w:rsidRDefault="004C0912" w:rsidP="00217240">
            <w:pPr>
              <w:pStyle w:val="ab"/>
              <w:widowControl/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ind w:leftChars="0" w:left="357" w:hanging="357"/>
              <w:textAlignment w:val="bottom"/>
              <w:rPr>
                <w:rFonts w:ascii="Arial" w:eastAsia="標楷體" w:hAnsi="Arial" w:cs="Arial"/>
                <w:bCs/>
                <w:szCs w:val="20"/>
              </w:rPr>
            </w:pPr>
            <w:r w:rsidRPr="00042C2A">
              <w:rPr>
                <w:rFonts w:ascii="Arial" w:eastAsia="標楷體" w:hAnsi="標楷體" w:cs="Arial"/>
                <w:bCs/>
                <w:szCs w:val="20"/>
              </w:rPr>
              <w:t>在</w:t>
            </w:r>
            <w:r w:rsidRPr="00042C2A">
              <w:rPr>
                <w:rFonts w:ascii="Arial" w:eastAsia="標楷體" w:hAnsi="Arial" w:cs="Arial"/>
                <w:bCs/>
                <w:szCs w:val="20"/>
              </w:rPr>
              <w:t xml:space="preserve">G-6-PD </w:t>
            </w:r>
            <w:r w:rsidRPr="00042C2A">
              <w:rPr>
                <w:rFonts w:ascii="Arial" w:eastAsia="標楷體" w:hAnsi="標楷體" w:cs="Arial"/>
                <w:bCs/>
                <w:szCs w:val="20"/>
              </w:rPr>
              <w:t>缺乏的病人可能會發生溶血症。</w:t>
            </w:r>
          </w:p>
          <w:p w:rsidR="004C0912" w:rsidRPr="00042C2A" w:rsidRDefault="004C0912" w:rsidP="00217240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 w:left="357" w:hanging="357"/>
              <w:rPr>
                <w:rFonts w:ascii="Arial" w:eastAsia="標楷體" w:hAnsi="Arial" w:cs="Arial"/>
                <w:szCs w:val="20"/>
              </w:rPr>
            </w:pPr>
            <w:r w:rsidRPr="00042C2A">
              <w:rPr>
                <w:rFonts w:ascii="Arial" w:eastAsia="標楷體" w:hAnsi="標楷體" w:cs="Arial"/>
                <w:bCs/>
                <w:szCs w:val="20"/>
              </w:rPr>
              <w:t>應避免投與已知或疑似</w:t>
            </w:r>
            <w:proofErr w:type="gramStart"/>
            <w:r w:rsidRPr="00042C2A">
              <w:rPr>
                <w:rFonts w:ascii="Arial" w:eastAsia="標楷體" w:hAnsi="標楷體" w:cs="Arial"/>
                <w:bCs/>
                <w:szCs w:val="20"/>
              </w:rPr>
              <w:t>為紫質症</w:t>
            </w:r>
            <w:proofErr w:type="gramEnd"/>
            <w:r w:rsidRPr="00042C2A">
              <w:rPr>
                <w:rFonts w:ascii="Arial" w:eastAsia="標楷體" w:hAnsi="標楷體" w:cs="Arial"/>
                <w:bCs/>
                <w:szCs w:val="20"/>
              </w:rPr>
              <w:t>危險群之病人，</w:t>
            </w:r>
            <w:proofErr w:type="spellStart"/>
            <w:r w:rsidRPr="00042C2A">
              <w:rPr>
                <w:rFonts w:ascii="Arial" w:eastAsia="標楷體" w:hAnsi="Arial" w:cs="Arial"/>
                <w:bCs/>
                <w:szCs w:val="20"/>
              </w:rPr>
              <w:t>trimethoprim</w:t>
            </w:r>
            <w:proofErr w:type="spellEnd"/>
            <w:r w:rsidRPr="00042C2A">
              <w:rPr>
                <w:rFonts w:ascii="Arial" w:eastAsia="標楷體" w:hAnsi="Arial" w:cs="Arial"/>
                <w:bCs/>
                <w:szCs w:val="20"/>
              </w:rPr>
              <w:t xml:space="preserve"> </w:t>
            </w:r>
            <w:r w:rsidRPr="00042C2A">
              <w:rPr>
                <w:rFonts w:ascii="Arial" w:eastAsia="標楷體" w:hAnsi="標楷體" w:cs="Arial"/>
                <w:bCs/>
                <w:szCs w:val="20"/>
              </w:rPr>
              <w:t>和</w:t>
            </w:r>
            <w:proofErr w:type="spellStart"/>
            <w:r w:rsidRPr="00042C2A">
              <w:rPr>
                <w:rFonts w:ascii="Arial" w:eastAsia="標楷體" w:hAnsi="Arial" w:cs="Arial"/>
                <w:bCs/>
                <w:szCs w:val="20"/>
              </w:rPr>
              <w:t>sulphonamides</w:t>
            </w:r>
            <w:proofErr w:type="spellEnd"/>
            <w:r w:rsidRPr="00042C2A">
              <w:rPr>
                <w:rFonts w:ascii="Arial" w:eastAsia="標楷體" w:hAnsi="Arial" w:cs="Arial"/>
                <w:bCs/>
                <w:szCs w:val="20"/>
              </w:rPr>
              <w:t xml:space="preserve"> </w:t>
            </w:r>
            <w:r w:rsidRPr="00042C2A">
              <w:rPr>
                <w:rFonts w:ascii="Arial" w:eastAsia="標楷體" w:hAnsi="標楷體" w:cs="Arial"/>
                <w:bCs/>
                <w:szCs w:val="20"/>
              </w:rPr>
              <w:t>可能</w:t>
            </w:r>
            <w:proofErr w:type="gramStart"/>
            <w:r w:rsidRPr="00042C2A">
              <w:rPr>
                <w:rFonts w:ascii="Arial" w:eastAsia="標楷體" w:hAnsi="標楷體" w:cs="Arial"/>
                <w:bCs/>
                <w:szCs w:val="20"/>
              </w:rPr>
              <w:t>使紫質</w:t>
            </w:r>
            <w:proofErr w:type="gramEnd"/>
            <w:r w:rsidRPr="00042C2A">
              <w:rPr>
                <w:rFonts w:ascii="Arial" w:eastAsia="標楷體" w:hAnsi="標楷體" w:cs="Arial"/>
                <w:bCs/>
                <w:szCs w:val="20"/>
              </w:rPr>
              <w:t>惡化。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  <w:color w:val="000000"/>
                <w:shd w:val="clear" w:color="auto" w:fill="CCFFCC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藥物安定性</w:t>
            </w:r>
          </w:p>
        </w:tc>
        <w:tc>
          <w:tcPr>
            <w:tcW w:w="7981" w:type="dxa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  <w:color w:val="000000"/>
                <w:sz w:val="18"/>
                <w:szCs w:val="18"/>
                <w:shd w:val="clear" w:color="auto" w:fill="F2F2F2"/>
              </w:rPr>
            </w:pPr>
            <w:r w:rsidRPr="00042C2A">
              <w:rPr>
                <w:rFonts w:ascii="Arial" w:eastAsia="標楷體" w:hAnsi="Arial" w:cs="Arial"/>
                <w:color w:val="FF0000"/>
                <w:sz w:val="20"/>
                <w:szCs w:val="20"/>
                <w:highlight w:val="yellow"/>
              </w:rPr>
              <w:t>(</w:t>
            </w:r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儲存方式、冷藏藥品室溫安定性、</w:t>
            </w:r>
            <w:proofErr w:type="gramStart"/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泡製後安定</w:t>
            </w:r>
            <w:proofErr w:type="gramEnd"/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性</w:t>
            </w:r>
            <w:r w:rsidRPr="00042C2A">
              <w:rPr>
                <w:rFonts w:ascii="Arial" w:eastAsia="標楷體" w:hAnsi="Arial" w:cs="Arial"/>
                <w:color w:val="FF0000"/>
                <w:sz w:val="20"/>
                <w:szCs w:val="20"/>
                <w:highlight w:val="yellow"/>
              </w:rPr>
              <w:t>…</w:t>
            </w:r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等</w:t>
            </w:r>
            <w:r w:rsidRPr="00042C2A">
              <w:rPr>
                <w:rFonts w:ascii="Arial" w:eastAsia="標楷體" w:hAnsi="Arial" w:cs="Arial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  <w:color w:val="000000"/>
                <w:shd w:val="clear" w:color="auto" w:fill="CCFFCC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磨粉建議</w:t>
            </w:r>
          </w:p>
        </w:tc>
        <w:tc>
          <w:tcPr>
            <w:tcW w:w="7981" w:type="dxa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  <w:color w:val="000000"/>
                <w:sz w:val="18"/>
                <w:szCs w:val="18"/>
                <w:shd w:val="clear" w:color="auto" w:fill="F2F2F2"/>
              </w:rPr>
            </w:pPr>
            <w:r w:rsidRPr="00042C2A">
              <w:rPr>
                <w:rFonts w:ascii="Arial" w:eastAsia="標楷體" w:hAnsi="Arial" w:cs="Arial"/>
                <w:color w:val="FF0000"/>
                <w:sz w:val="20"/>
                <w:szCs w:val="20"/>
                <w:highlight w:val="yellow"/>
              </w:rPr>
              <w:t>(</w:t>
            </w:r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不建議磨粉藥品須填寫，可註明詳細原因，</w:t>
            </w:r>
            <w:proofErr w:type="gramStart"/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管灌說明</w:t>
            </w:r>
            <w:proofErr w:type="gramEnd"/>
            <w:r w:rsidRPr="00042C2A"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  <w:t>也可以放在此</w:t>
            </w:r>
            <w:r w:rsidRPr="00042C2A">
              <w:rPr>
                <w:rFonts w:ascii="Arial" w:eastAsia="標楷體" w:hAnsi="Arial" w:cs="Arial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4C0912" w:rsidRPr="00042C2A" w:rsidTr="00217240"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  <w:color w:val="000000"/>
                <w:shd w:val="clear" w:color="auto" w:fill="CCFFCC"/>
              </w:rPr>
            </w:pPr>
            <w:r w:rsidRPr="00042C2A">
              <w:rPr>
                <w:rFonts w:ascii="標楷體" w:eastAsia="標楷體" w:hAnsi="標楷體" w:hint="eastAsia"/>
                <w:color w:val="000000"/>
                <w:shd w:val="clear" w:color="auto" w:fill="CCFFCC"/>
              </w:rPr>
              <w:t>其他</w:t>
            </w:r>
          </w:p>
        </w:tc>
        <w:tc>
          <w:tcPr>
            <w:tcW w:w="7981" w:type="dxa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標楷體" w:cs="Arial"/>
                <w:color w:val="FF0000"/>
                <w:sz w:val="20"/>
                <w:szCs w:val="20"/>
                <w:highlight w:val="yellow"/>
              </w:rPr>
            </w:pPr>
            <w:r w:rsidRPr="00042C2A">
              <w:rPr>
                <w:rFonts w:ascii="Arial" w:eastAsia="標楷體" w:hAnsi="標楷體" w:cs="Arial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042C2A">
              <w:rPr>
                <w:rFonts w:ascii="Arial" w:eastAsia="標楷體" w:hAnsi="標楷體" w:cs="Arial" w:hint="eastAsia"/>
                <w:color w:val="FF0000"/>
                <w:sz w:val="20"/>
                <w:szCs w:val="20"/>
                <w:highlight w:val="yellow"/>
              </w:rPr>
              <w:t>其他藥品相關資訊</w:t>
            </w:r>
            <w:r w:rsidRPr="00042C2A">
              <w:rPr>
                <w:rFonts w:ascii="Arial" w:eastAsia="標楷體" w:hAnsi="標楷體" w:cs="Arial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4C0912" w:rsidRPr="00042C2A" w:rsidTr="00217240">
        <w:trPr>
          <w:trHeight w:val="476"/>
        </w:trPr>
        <w:tc>
          <w:tcPr>
            <w:tcW w:w="2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b/>
              </w:rPr>
            </w:pPr>
            <w:r w:rsidRPr="00042C2A">
              <w:rPr>
                <w:rFonts w:ascii="Arial" w:hAnsi="Arial" w:cs="Arial"/>
                <w:b/>
              </w:rPr>
              <w:t>Supply</w:t>
            </w:r>
          </w:p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42C2A">
              <w:rPr>
                <w:rFonts w:ascii="標楷體" w:eastAsia="標楷體" w:hAnsi="標楷體"/>
                <w:color w:val="000000"/>
                <w:shd w:val="clear" w:color="auto" w:fill="CCFFCC"/>
              </w:rPr>
              <w:t>規格</w:t>
            </w:r>
          </w:p>
        </w:tc>
        <w:tc>
          <w:tcPr>
            <w:tcW w:w="7981" w:type="dxa"/>
          </w:tcPr>
          <w:p w:rsidR="004C0912" w:rsidRPr="00042C2A" w:rsidRDefault="004C0912" w:rsidP="00217240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Arial" w:cs="Arial"/>
              </w:rPr>
              <w:t xml:space="preserve">Inj. </w:t>
            </w:r>
            <w:proofErr w:type="spellStart"/>
            <w:r w:rsidRPr="00042C2A">
              <w:rPr>
                <w:rFonts w:ascii="Arial" w:eastAsia="標楷體" w:hAnsi="Arial" w:cs="Arial"/>
              </w:rPr>
              <w:t>Trimethoprim</w:t>
            </w:r>
            <w:proofErr w:type="spellEnd"/>
            <w:r w:rsidRPr="00042C2A">
              <w:rPr>
                <w:rFonts w:ascii="Arial" w:eastAsia="標楷體" w:hAnsi="Arial" w:cs="Arial"/>
              </w:rPr>
              <w:t xml:space="preserve"> 80 </w:t>
            </w:r>
            <w:proofErr w:type="spellStart"/>
            <w:r w:rsidRPr="00042C2A">
              <w:rPr>
                <w:rFonts w:ascii="Arial" w:eastAsia="標楷體" w:hAnsi="Arial" w:cs="Arial"/>
              </w:rPr>
              <w:t>mg+,Sulfamethoxazole</w:t>
            </w:r>
            <w:proofErr w:type="spellEnd"/>
            <w:r w:rsidRPr="00042C2A">
              <w:rPr>
                <w:rFonts w:ascii="Arial" w:eastAsia="標楷體" w:hAnsi="Arial" w:cs="Arial"/>
              </w:rPr>
              <w:t xml:space="preserve"> 400 mg/amp</w:t>
            </w:r>
          </w:p>
        </w:tc>
      </w:tr>
    </w:tbl>
    <w:p w:rsidR="001F4D10" w:rsidRDefault="001F4D10" w:rsidP="00042C2A">
      <w:pPr>
        <w:widowControl/>
        <w:spacing w:line="320" w:lineRule="exact"/>
        <w:rPr>
          <w:rFonts w:ascii="Arial" w:eastAsia="標楷體" w:hAnsi="標楷體" w:cs="Arial"/>
          <w:b/>
          <w:color w:val="0000FF"/>
          <w:sz w:val="32"/>
          <w:szCs w:val="32"/>
        </w:rPr>
      </w:pPr>
    </w:p>
    <w:p w:rsidR="001F4D10" w:rsidRDefault="001F4D10">
      <w:pPr>
        <w:widowControl/>
        <w:rPr>
          <w:rFonts w:ascii="Arial" w:eastAsia="標楷體" w:hAnsi="標楷體" w:cs="Arial"/>
          <w:b/>
          <w:color w:val="0000FF"/>
          <w:sz w:val="32"/>
          <w:szCs w:val="32"/>
        </w:rPr>
      </w:pPr>
      <w:r>
        <w:rPr>
          <w:rFonts w:ascii="Arial" w:eastAsia="標楷體" w:hAnsi="標楷體" w:cs="Arial"/>
          <w:b/>
          <w:color w:val="0000FF"/>
          <w:sz w:val="32"/>
          <w:szCs w:val="32"/>
        </w:rPr>
        <w:br w:type="page"/>
      </w:r>
    </w:p>
    <w:p w:rsidR="00042C2A" w:rsidRDefault="00042C2A" w:rsidP="00042C2A">
      <w:pPr>
        <w:widowControl/>
        <w:spacing w:line="320" w:lineRule="exact"/>
        <w:rPr>
          <w:rFonts w:ascii="標楷體" w:eastAsia="標楷體" w:hAnsi="標楷體" w:cs="Arial"/>
          <w:b/>
          <w:bCs/>
          <w:color w:val="FF0000"/>
          <w:kern w:val="0"/>
          <w:sz w:val="27"/>
          <w:szCs w:val="27"/>
        </w:rPr>
      </w:pPr>
      <w:r w:rsidRPr="00FC7A84">
        <w:rPr>
          <w:rFonts w:ascii="Arial" w:eastAsia="標楷體" w:hAnsi="標楷體" w:cs="Arial"/>
          <w:b/>
          <w:color w:val="0000FF"/>
          <w:sz w:val="32"/>
          <w:szCs w:val="32"/>
        </w:rPr>
        <w:lastRenderedPageBreak/>
        <w:t>注射給藥指引</w:t>
      </w:r>
      <w:r>
        <w:rPr>
          <w:rFonts w:ascii="Arial" w:eastAsia="標楷體" w:hAnsi="標楷體" w:cs="Arial" w:hint="eastAsia"/>
          <w:b/>
          <w:color w:val="0000FF"/>
          <w:sz w:val="32"/>
          <w:szCs w:val="32"/>
        </w:rPr>
        <w:t xml:space="preserve"> </w:t>
      </w:r>
      <w:r w:rsidRPr="000F0422">
        <w:rPr>
          <w:rFonts w:ascii="標楷體" w:eastAsia="標楷體" w:hAnsi="標楷體" w:cs="Arial" w:hint="eastAsia"/>
          <w:b/>
          <w:bCs/>
          <w:color w:val="FF0000"/>
          <w:kern w:val="0"/>
          <w:sz w:val="27"/>
          <w:szCs w:val="27"/>
          <w:highlight w:val="yellow"/>
        </w:rPr>
        <w:t>(注射劑型須填寫)</w:t>
      </w:r>
    </w:p>
    <w:p w:rsidR="00042C2A" w:rsidRPr="00FC7A84" w:rsidRDefault="00042C2A" w:rsidP="00042C2A">
      <w:pPr>
        <w:widowControl/>
        <w:spacing w:line="320" w:lineRule="exact"/>
        <w:rPr>
          <w:rFonts w:ascii="Arial" w:hAnsi="Arial" w:cs="Arial"/>
          <w:b/>
          <w:bCs/>
          <w:color w:val="FF0000"/>
          <w:kern w:val="0"/>
          <w:sz w:val="27"/>
          <w:szCs w:val="27"/>
        </w:rPr>
      </w:pPr>
    </w:p>
    <w:tbl>
      <w:tblPr>
        <w:tblW w:w="9292" w:type="dxa"/>
        <w:tblCellSpacing w:w="0" w:type="dxa"/>
        <w:tblBorders>
          <w:top w:val="dotted" w:sz="12" w:space="0" w:color="F00000"/>
          <w:left w:val="dotted" w:sz="12" w:space="0" w:color="F00000"/>
          <w:bottom w:val="dotted" w:sz="12" w:space="0" w:color="F00000"/>
          <w:right w:val="dotted" w:sz="12" w:space="0" w:color="F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5"/>
        <w:gridCol w:w="7087"/>
      </w:tblGrid>
      <w:tr w:rsidR="00042C2A" w:rsidRPr="00FC7A84" w:rsidTr="00042C2A">
        <w:trPr>
          <w:trHeight w:val="242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042C2A" w:rsidRDefault="00042C2A" w:rsidP="00042C2A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Arial" w:eastAsia="標楷體" w:hAnsi="Arial" w:cs="Arial"/>
                <w:b/>
              </w:rPr>
            </w:pPr>
            <w:r w:rsidRPr="00042C2A">
              <w:rPr>
                <w:rFonts w:ascii="Arial" w:eastAsia="標楷體" w:hAnsi="標楷體" w:cs="Arial"/>
                <w:b/>
              </w:rPr>
              <w:t>藥品手冊欄位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042C2A" w:rsidRDefault="00042C2A" w:rsidP="00042C2A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Arial" w:eastAsia="標楷體" w:hAnsi="Arial" w:cs="Arial"/>
                <w:color w:val="000000"/>
                <w:shd w:val="clear" w:color="auto" w:fill="F2F2F2"/>
              </w:rPr>
            </w:pPr>
            <w:r w:rsidRPr="00042C2A">
              <w:rPr>
                <w:rFonts w:ascii="Arial" w:eastAsia="標楷體" w:hAnsi="標楷體" w:cs="Arial"/>
                <w:b/>
                <w:color w:val="000000"/>
              </w:rPr>
              <w:t>資料內容</w:t>
            </w:r>
            <w:r w:rsidRPr="00042C2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042C2A">
              <w:rPr>
                <w:rFonts w:ascii="Arial" w:eastAsia="標楷體" w:hAnsi="Arial" w:cs="Arial"/>
                <w:color w:val="FF0000"/>
                <w:highlight w:val="yellow"/>
                <w:shd w:val="clear" w:color="auto" w:fill="F2F2F2"/>
              </w:rPr>
              <w:t>(</w:t>
            </w:r>
            <w:r w:rsidRPr="00042C2A">
              <w:rPr>
                <w:rFonts w:ascii="Arial" w:eastAsia="標楷體" w:hAnsi="標楷體" w:cs="Arial"/>
                <w:color w:val="FF0000"/>
                <w:highlight w:val="yellow"/>
                <w:shd w:val="clear" w:color="auto" w:fill="F2F2F2"/>
              </w:rPr>
              <w:t>只有</w:t>
            </w:r>
            <w:r w:rsidRPr="00FC7A84">
              <w:rPr>
                <w:rFonts w:ascii="Arial" w:eastAsia="標楷體" w:hAnsi="標楷體" w:cs="Arial"/>
                <w:color w:val="FF0000"/>
                <w:highlight w:val="yellow"/>
                <w:shd w:val="clear" w:color="auto" w:fill="F2F2F2"/>
              </w:rPr>
              <w:t>注意事項</w:t>
            </w:r>
            <w:r w:rsidRPr="00042C2A">
              <w:rPr>
                <w:rFonts w:ascii="Arial" w:eastAsia="標楷體" w:hAnsi="標楷體" w:cs="Arial"/>
                <w:color w:val="FF0000"/>
                <w:highlight w:val="yellow"/>
                <w:shd w:val="clear" w:color="auto" w:fill="F2F2F2"/>
              </w:rPr>
              <w:t>支援表格、字形色彩、粗體、超連結</w:t>
            </w:r>
            <w:r w:rsidRPr="00042C2A">
              <w:rPr>
                <w:rFonts w:ascii="Arial" w:eastAsia="標楷體" w:hAnsi="Arial" w:cs="Arial"/>
                <w:color w:val="FF0000"/>
                <w:highlight w:val="yellow"/>
                <w:shd w:val="clear" w:color="auto" w:fill="F2F2F2"/>
              </w:rPr>
              <w:t>)</w:t>
            </w:r>
          </w:p>
        </w:tc>
      </w:tr>
      <w:tr w:rsidR="00042C2A" w:rsidRPr="00FC7A84" w:rsidTr="00042C2A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給藥途徑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C7A84" w:rsidRPr="00FC7A84" w:rsidRDefault="00042C2A" w:rsidP="00042C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IV</w:t>
            </w:r>
          </w:p>
        </w:tc>
      </w:tr>
      <w:tr w:rsidR="00042C2A" w:rsidRPr="00FC7A84" w:rsidTr="00042C2A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靜脈</w:t>
            </w:r>
            <w:proofErr w:type="gramStart"/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輸注液</w:t>
            </w:r>
            <w:proofErr w:type="gramEnd"/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C7A84" w:rsidRPr="00FC7A84" w:rsidRDefault="00042C2A" w:rsidP="00042C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D5W, D10W, N/S(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仿單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042C2A" w:rsidRPr="00FC7A84" w:rsidTr="00042C2A">
        <w:trPr>
          <w:trHeight w:val="17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每瓶稀釋液體積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Arial" w:eastAsia="標楷體" w:hAnsi="Arial" w:cs="Arial"/>
                <w:color w:val="000000"/>
                <w:kern w:val="0"/>
              </w:rPr>
            </w:pPr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(</w:t>
            </w:r>
            <w:proofErr w:type="gramStart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需泡製</w:t>
            </w:r>
            <w:proofErr w:type="gramEnd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的劑</w:t>
            </w:r>
            <w:proofErr w:type="gramStart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型如凍晶</w:t>
            </w:r>
            <w:proofErr w:type="gramEnd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乾粉</w:t>
            </w:r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)</w:t>
            </w:r>
          </w:p>
        </w:tc>
      </w:tr>
      <w:tr w:rsidR="00042C2A" w:rsidRPr="00FC7A84" w:rsidTr="00042C2A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給藥濃度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C7A84" w:rsidRPr="00FC7A84" w:rsidRDefault="00042C2A" w:rsidP="00042C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1 amp in 125 ml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；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1 amp in 75ml (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限水者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042C2A" w:rsidRPr="00FC7A84" w:rsidTr="00042C2A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給藥速率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C7A84" w:rsidRPr="00FC7A84" w:rsidRDefault="00042C2A" w:rsidP="00042C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Arial" w:cs="Arial"/>
                <w:color w:val="000000"/>
                <w:kern w:val="0"/>
              </w:rPr>
              <w:t xml:space="preserve">60-90 </w:t>
            </w:r>
            <w:proofErr w:type="spellStart"/>
            <w:r w:rsidRPr="00FC7A84">
              <w:rPr>
                <w:rFonts w:ascii="Arial" w:eastAsia="標楷體" w:hAnsi="Arial" w:cs="Arial"/>
                <w:color w:val="000000"/>
                <w:kern w:val="0"/>
              </w:rPr>
              <w:t>mins</w:t>
            </w:r>
            <w:proofErr w:type="spellEnd"/>
          </w:p>
        </w:tc>
      </w:tr>
      <w:tr w:rsidR="00042C2A" w:rsidRPr="00FC7A84" w:rsidTr="00042C2A">
        <w:trPr>
          <w:trHeight w:val="1861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安定性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688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3"/>
              <w:gridCol w:w="1717"/>
              <w:gridCol w:w="1717"/>
              <w:gridCol w:w="1720"/>
            </w:tblGrid>
            <w:tr w:rsidR="00042C2A" w:rsidRPr="00FC7A84" w:rsidTr="00042C2A">
              <w:trPr>
                <w:tblCellSpacing w:w="15" w:type="dxa"/>
              </w:trPr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jc w:val="center"/>
                    <w:rPr>
                      <w:rFonts w:ascii="Arial" w:eastAsia="標楷體" w:hAnsi="Arial" w:cs="Arial"/>
                      <w:kern w:val="0"/>
                    </w:rPr>
                  </w:pPr>
                  <w:r w:rsidRPr="00FC7A84">
                    <w:rPr>
                      <w:rFonts w:ascii="Arial" w:eastAsia="標楷體" w:hAnsi="標楷體" w:cs="Arial"/>
                      <w:kern w:val="0"/>
                    </w:rPr>
                    <w:t>配製後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br/>
                    <w:t>(</w:t>
                  </w:r>
                  <w:r w:rsidRPr="00FC7A84">
                    <w:rPr>
                      <w:rFonts w:ascii="Arial" w:eastAsia="標楷體" w:hAnsi="標楷體" w:cs="Arial"/>
                      <w:kern w:val="0"/>
                    </w:rPr>
                    <w:t>室溫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t>)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jc w:val="center"/>
                    <w:rPr>
                      <w:rFonts w:ascii="Arial" w:eastAsia="標楷體" w:hAnsi="Arial" w:cs="Arial"/>
                      <w:kern w:val="0"/>
                    </w:rPr>
                  </w:pPr>
                  <w:r w:rsidRPr="00FC7A84">
                    <w:rPr>
                      <w:rFonts w:ascii="Arial" w:eastAsia="標楷體" w:hAnsi="標楷體" w:cs="Arial"/>
                      <w:kern w:val="0"/>
                    </w:rPr>
                    <w:t>配製後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br/>
                    <w:t>(</w:t>
                  </w:r>
                  <w:r w:rsidRPr="00FC7A84">
                    <w:rPr>
                      <w:rFonts w:ascii="Arial" w:eastAsia="標楷體" w:hAnsi="標楷體" w:cs="Arial"/>
                      <w:kern w:val="0"/>
                    </w:rPr>
                    <w:t>冷藏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t>)</w:t>
                  </w: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jc w:val="center"/>
                    <w:rPr>
                      <w:rFonts w:ascii="Arial" w:eastAsia="標楷體" w:hAnsi="Arial" w:cs="Arial"/>
                      <w:kern w:val="0"/>
                    </w:rPr>
                  </w:pPr>
                  <w:r w:rsidRPr="00FC7A84">
                    <w:rPr>
                      <w:rFonts w:ascii="Arial" w:eastAsia="標楷體" w:hAnsi="標楷體" w:cs="Arial"/>
                      <w:kern w:val="0"/>
                    </w:rPr>
                    <w:t>進一步稀釋後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br/>
                    <w:t>(</w:t>
                  </w:r>
                  <w:r w:rsidRPr="00FC7A84">
                    <w:rPr>
                      <w:rFonts w:ascii="Arial" w:eastAsia="標楷體" w:hAnsi="標楷體" w:cs="Arial"/>
                      <w:kern w:val="0"/>
                    </w:rPr>
                    <w:t>室溫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t>)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jc w:val="center"/>
                    <w:rPr>
                      <w:rFonts w:ascii="Arial" w:eastAsia="標楷體" w:hAnsi="Arial" w:cs="Arial"/>
                      <w:kern w:val="0"/>
                    </w:rPr>
                  </w:pPr>
                  <w:r w:rsidRPr="00FC7A84">
                    <w:rPr>
                      <w:rFonts w:ascii="Arial" w:eastAsia="標楷體" w:hAnsi="標楷體" w:cs="Arial"/>
                      <w:kern w:val="0"/>
                    </w:rPr>
                    <w:t>進一步稀釋後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br/>
                    <w:t>(</w:t>
                  </w:r>
                  <w:r w:rsidRPr="00FC7A84">
                    <w:rPr>
                      <w:rFonts w:ascii="Arial" w:eastAsia="標楷體" w:hAnsi="標楷體" w:cs="Arial"/>
                      <w:kern w:val="0"/>
                    </w:rPr>
                    <w:t>冷藏</w:t>
                  </w:r>
                  <w:r w:rsidRPr="00FC7A84">
                    <w:rPr>
                      <w:rFonts w:ascii="Arial" w:eastAsia="標楷體" w:hAnsi="Arial" w:cs="Arial"/>
                      <w:kern w:val="0"/>
                    </w:rPr>
                    <w:t>)</w:t>
                  </w:r>
                </w:p>
              </w:tc>
            </w:tr>
            <w:tr w:rsidR="00042C2A" w:rsidRPr="00FC7A84" w:rsidTr="00042C2A">
              <w:trPr>
                <w:tblCellSpacing w:w="15" w:type="dxa"/>
              </w:trPr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rPr>
                      <w:rFonts w:ascii="Arial" w:eastAsia="標楷體" w:hAnsi="Arial" w:cs="Arial"/>
                      <w:kern w:val="0"/>
                    </w:rPr>
                  </w:pP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rPr>
                      <w:rFonts w:ascii="Arial" w:eastAsia="標楷體" w:hAnsi="Arial" w:cs="Arial"/>
                      <w:kern w:val="0"/>
                    </w:rPr>
                  </w:pPr>
                </w:p>
              </w:tc>
              <w:tc>
                <w:tcPr>
                  <w:tcW w:w="1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FC7A84" w:rsidRPr="00FC7A84" w:rsidRDefault="00042C2A" w:rsidP="00042C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exact"/>
                    <w:jc w:val="center"/>
                    <w:rPr>
                      <w:rFonts w:ascii="Arial" w:eastAsia="標楷體" w:hAnsi="Arial" w:cs="Arial"/>
                      <w:kern w:val="0"/>
                    </w:rPr>
                  </w:pPr>
                  <w:r w:rsidRPr="00FC7A84">
                    <w:rPr>
                      <w:rFonts w:ascii="Arial" w:eastAsia="標楷體" w:hAnsi="Arial" w:cs="Arial"/>
                      <w:kern w:val="0"/>
                    </w:rPr>
                    <w:t>6 hrs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042C2A" w:rsidRPr="00FC7A84" w:rsidRDefault="00042C2A" w:rsidP="00042C2A">
                  <w:pPr>
                    <w:widowControl/>
                    <w:spacing w:line="280" w:lineRule="exact"/>
                    <w:rPr>
                      <w:rFonts w:ascii="Arial" w:eastAsia="標楷體" w:hAnsi="Arial" w:cs="Arial"/>
                      <w:kern w:val="0"/>
                    </w:rPr>
                  </w:pPr>
                </w:p>
              </w:tc>
            </w:tr>
          </w:tbl>
          <w:p w:rsidR="00042C2A" w:rsidRPr="00FC7A84" w:rsidRDefault="00042C2A" w:rsidP="00042C2A">
            <w:pPr>
              <w:widowControl/>
              <w:autoSpaceDE w:val="0"/>
              <w:autoSpaceDN w:val="0"/>
              <w:spacing w:line="280" w:lineRule="exact"/>
              <w:textAlignment w:val="bottom"/>
              <w:rPr>
                <w:rFonts w:ascii="Arial" w:eastAsia="標楷體" w:hAnsi="Arial" w:cs="Arial"/>
                <w:color w:val="000000"/>
                <w:kern w:val="0"/>
              </w:rPr>
            </w:pPr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(</w:t>
            </w:r>
            <w:r w:rsidRPr="00FC7A84">
              <w:rPr>
                <w:rFonts w:ascii="Arial" w:eastAsia="標楷體" w:hAnsi="標楷體" w:cs="Arial"/>
                <w:color w:val="FF0000"/>
                <w:highlight w:val="yellow"/>
                <w:shd w:val="clear" w:color="auto" w:fill="F2F2F2"/>
              </w:rPr>
              <w:t>配製後</w:t>
            </w:r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：</w:t>
            </w:r>
            <w:proofErr w:type="gramStart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需泡製</w:t>
            </w:r>
            <w:proofErr w:type="gramEnd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的劑型，</w:t>
            </w:r>
            <w:proofErr w:type="gramStart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於原瓶內</w:t>
            </w:r>
            <w:proofErr w:type="gramEnd"/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之安定性；</w:t>
            </w:r>
            <w:r w:rsidRPr="00FC7A84">
              <w:rPr>
                <w:rFonts w:ascii="Arial" w:eastAsia="標楷體" w:hAnsi="標楷體" w:cs="Arial"/>
                <w:color w:val="FF0000"/>
                <w:highlight w:val="yellow"/>
                <w:shd w:val="clear" w:color="auto" w:fill="F2F2F2"/>
              </w:rPr>
              <w:t>進一步稀釋後</w:t>
            </w:r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：稀釋至點滴安定性</w:t>
            </w:r>
            <w:r w:rsidRPr="00042C2A">
              <w:rPr>
                <w:rFonts w:ascii="Arial" w:eastAsia="標楷體" w:hAnsi="標楷體" w:cs="Arial" w:hint="eastAsia"/>
                <w:color w:val="FF0000"/>
                <w:highlight w:val="yellow"/>
                <w:shd w:val="clear" w:color="auto" w:fill="F2F2F2"/>
              </w:rPr>
              <w:t>)</w:t>
            </w:r>
          </w:p>
        </w:tc>
      </w:tr>
      <w:tr w:rsidR="00042C2A" w:rsidRPr="00FC7A84" w:rsidTr="00042C2A">
        <w:trPr>
          <w:trHeight w:val="223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jc w:val="righ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注意事項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42C2A" w:rsidRPr="00FC7A84" w:rsidRDefault="00042C2A" w:rsidP="00042C2A">
            <w:pPr>
              <w:widowControl/>
              <w:spacing w:line="28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1.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最好以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D5W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稀釋，稀釋後須於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t xml:space="preserve"> 6 hrs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內用完。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proofErr w:type="spellStart"/>
            <w:r w:rsidRPr="00FC7A84">
              <w:rPr>
                <w:rFonts w:ascii="Arial" w:eastAsia="標楷體" w:hAnsi="Arial" w:cs="Arial"/>
                <w:color w:val="000000"/>
                <w:kern w:val="0"/>
              </w:rPr>
              <w:t>Micromedex</w:t>
            </w:r>
            <w:proofErr w:type="spellEnd"/>
            <w:r w:rsidRPr="00FC7A84">
              <w:rPr>
                <w:rFonts w:ascii="Arial" w:eastAsia="標楷體" w:hAnsi="Arial" w:cs="Arial"/>
                <w:color w:val="000000"/>
                <w:kern w:val="0"/>
              </w:rPr>
              <w:t>)</w:t>
            </w:r>
            <w:r w:rsidRPr="00FC7A84">
              <w:rPr>
                <w:rFonts w:ascii="Arial" w:eastAsia="標楷體" w:hAnsi="Arial" w:cs="Arial"/>
                <w:color w:val="000000"/>
                <w:kern w:val="0"/>
              </w:rPr>
              <w:br/>
              <w:t>2.</w:t>
            </w:r>
            <w:r w:rsidRPr="00FC7A84">
              <w:rPr>
                <w:rFonts w:ascii="Arial" w:eastAsia="標楷體" w:hAnsi="標楷體" w:cs="Arial"/>
                <w:color w:val="000000"/>
                <w:kern w:val="0"/>
              </w:rPr>
              <w:t>不可以和其他藥物混合給藥</w:t>
            </w:r>
          </w:p>
        </w:tc>
      </w:tr>
    </w:tbl>
    <w:p w:rsidR="00042C2A" w:rsidRDefault="00042C2A" w:rsidP="00042C2A">
      <w:pPr>
        <w:widowControl/>
        <w:spacing w:line="320" w:lineRule="exact"/>
        <w:rPr>
          <w:rFonts w:ascii="Arial" w:eastAsia="標楷體" w:hAnsi="標楷體" w:cs="Arial" w:hint="eastAsia"/>
          <w:b/>
          <w:color w:val="0000FF"/>
          <w:sz w:val="32"/>
          <w:szCs w:val="32"/>
        </w:rPr>
      </w:pPr>
    </w:p>
    <w:p w:rsidR="00042C2A" w:rsidRDefault="00042C2A" w:rsidP="00042C2A">
      <w:pPr>
        <w:widowControl/>
        <w:spacing w:line="320" w:lineRule="exact"/>
        <w:rPr>
          <w:rFonts w:ascii="Arial" w:eastAsia="標楷體" w:hAnsi="標楷體" w:cs="Arial"/>
          <w:b/>
          <w:color w:val="0000FF"/>
          <w:sz w:val="32"/>
          <w:szCs w:val="32"/>
        </w:rPr>
      </w:pPr>
      <w:r w:rsidRPr="00E53123">
        <w:rPr>
          <w:rFonts w:ascii="Arial" w:eastAsia="標楷體" w:hAnsi="標楷體" w:cs="Arial" w:hint="eastAsia"/>
          <w:b/>
          <w:color w:val="0000FF"/>
          <w:sz w:val="32"/>
          <w:szCs w:val="32"/>
        </w:rPr>
        <w:t>民眾</w:t>
      </w:r>
      <w:r w:rsidRPr="00E53123">
        <w:rPr>
          <w:rFonts w:ascii="Arial" w:eastAsia="標楷體" w:hAnsi="標楷體" w:cs="Arial"/>
          <w:b/>
          <w:color w:val="0000FF"/>
          <w:sz w:val="32"/>
          <w:szCs w:val="32"/>
        </w:rPr>
        <w:t>用藥指導單張</w:t>
      </w:r>
      <w:r>
        <w:rPr>
          <w:rFonts w:ascii="Arial" w:eastAsia="標楷體" w:hAnsi="標楷體" w:cs="Arial" w:hint="eastAsia"/>
          <w:b/>
          <w:color w:val="0000FF"/>
          <w:sz w:val="32"/>
          <w:szCs w:val="32"/>
        </w:rPr>
        <w:t xml:space="preserve"> </w:t>
      </w:r>
      <w:r w:rsidRPr="000F0422">
        <w:rPr>
          <w:rFonts w:ascii="標楷體" w:eastAsia="標楷體" w:hAnsi="標楷體" w:cs="Arial" w:hint="eastAsia"/>
          <w:b/>
          <w:bCs/>
          <w:color w:val="FF0000"/>
          <w:kern w:val="0"/>
          <w:sz w:val="27"/>
          <w:szCs w:val="27"/>
          <w:highlight w:val="yellow"/>
        </w:rPr>
        <w:t>(請以淺顯易懂字眼填寫)</w:t>
      </w:r>
    </w:p>
    <w:tbl>
      <w:tblPr>
        <w:tblpPr w:leftFromText="181" w:rightFromText="181" w:vertAnchor="text" w:horzAnchor="margin" w:tblpY="205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928"/>
        <w:gridCol w:w="8263"/>
      </w:tblGrid>
      <w:tr w:rsidR="00217240" w:rsidRPr="00404141" w:rsidTr="00217240">
        <w:trPr>
          <w:trHeight w:val="414"/>
        </w:trPr>
        <w:tc>
          <w:tcPr>
            <w:tcW w:w="19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:rsidR="00217240" w:rsidRPr="00042C2A" w:rsidRDefault="00217240" w:rsidP="00217240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Arial" w:eastAsia="標楷體" w:hAnsi="Arial" w:cs="Arial"/>
                <w:b/>
              </w:rPr>
            </w:pPr>
            <w:r w:rsidRPr="00042C2A">
              <w:rPr>
                <w:rFonts w:ascii="Arial" w:eastAsia="標楷體" w:hAnsi="標楷體" w:cs="Arial"/>
                <w:b/>
              </w:rPr>
              <w:t>藥品手冊欄位</w:t>
            </w:r>
          </w:p>
        </w:tc>
        <w:tc>
          <w:tcPr>
            <w:tcW w:w="8263" w:type="dxa"/>
            <w:shd w:val="clear" w:color="auto" w:fill="FFCC99"/>
            <w:vAlign w:val="center"/>
          </w:tcPr>
          <w:p w:rsidR="00217240" w:rsidRPr="00042C2A" w:rsidRDefault="00217240" w:rsidP="00217240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Arial" w:eastAsia="標楷體" w:hAnsi="Arial" w:cs="Arial"/>
                <w:color w:val="000000"/>
                <w:shd w:val="clear" w:color="auto" w:fill="F2F2F2"/>
              </w:rPr>
            </w:pPr>
            <w:r w:rsidRPr="00042C2A">
              <w:rPr>
                <w:rFonts w:ascii="Arial" w:eastAsia="標楷體" w:hAnsi="標楷體" w:cs="Arial"/>
                <w:b/>
                <w:color w:val="000000"/>
              </w:rPr>
              <w:t>資料內容</w:t>
            </w:r>
            <w:r w:rsidRPr="00042C2A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042C2A">
              <w:rPr>
                <w:rFonts w:ascii="Arial" w:eastAsia="標楷體" w:hAnsi="Arial" w:cs="Arial"/>
                <w:color w:val="FF0000"/>
                <w:highlight w:val="yellow"/>
                <w:shd w:val="clear" w:color="auto" w:fill="F2F2F2"/>
              </w:rPr>
              <w:t>(</w:t>
            </w:r>
            <w:r w:rsidRPr="00042C2A">
              <w:rPr>
                <w:rFonts w:ascii="Arial" w:eastAsia="標楷體" w:hAnsi="標楷體" w:cs="Arial"/>
                <w:color w:val="FF0000"/>
                <w:highlight w:val="yellow"/>
                <w:shd w:val="clear" w:color="auto" w:fill="F2F2F2"/>
              </w:rPr>
              <w:t>支援表格、字形色彩、粗體、超連結</w:t>
            </w:r>
            <w:r w:rsidRPr="00042C2A">
              <w:rPr>
                <w:rFonts w:ascii="Arial" w:eastAsia="標楷體" w:hAnsi="Arial" w:cs="Arial"/>
                <w:color w:val="FF0000"/>
                <w:highlight w:val="yellow"/>
                <w:shd w:val="clear" w:color="auto" w:fill="F2F2F2"/>
              </w:rPr>
              <w:t>)</w:t>
            </w:r>
          </w:p>
        </w:tc>
      </w:tr>
      <w:tr w:rsidR="00217240" w:rsidRPr="00404141" w:rsidTr="00217240">
        <w:tc>
          <w:tcPr>
            <w:tcW w:w="19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CC"/>
          </w:tcPr>
          <w:p w:rsidR="00217240" w:rsidRPr="00042C2A" w:rsidRDefault="00217240" w:rsidP="00217240">
            <w:pPr>
              <w:widowControl/>
              <w:autoSpaceDE w:val="0"/>
              <w:autoSpaceDN w:val="0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標楷體" w:cs="Arial"/>
              </w:rPr>
              <w:t>臨床用途</w:t>
            </w:r>
          </w:p>
        </w:tc>
        <w:tc>
          <w:tcPr>
            <w:tcW w:w="8263" w:type="dxa"/>
          </w:tcPr>
          <w:p w:rsidR="00217240" w:rsidRPr="00042C2A" w:rsidRDefault="00217240" w:rsidP="00217240">
            <w:pPr>
              <w:widowControl/>
              <w:autoSpaceDE w:val="0"/>
              <w:autoSpaceDN w:val="0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標楷體" w:cs="Arial"/>
                <w:color w:val="000000"/>
              </w:rPr>
              <w:t>退燒、止痛（頭痛、牙痛、咽喉痛、關節痛、神經痛、肌肉酸痛、月經痛）</w:t>
            </w:r>
          </w:p>
        </w:tc>
      </w:tr>
      <w:tr w:rsidR="00217240" w:rsidRPr="00404141" w:rsidTr="00217240">
        <w:trPr>
          <w:trHeight w:val="1344"/>
        </w:trPr>
        <w:tc>
          <w:tcPr>
            <w:tcW w:w="19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CC"/>
          </w:tcPr>
          <w:p w:rsidR="00217240" w:rsidRPr="00042C2A" w:rsidRDefault="00217240" w:rsidP="00217240">
            <w:pPr>
              <w:widowControl/>
              <w:autoSpaceDE w:val="0"/>
              <w:autoSpaceDN w:val="0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標楷體" w:cs="Arial"/>
              </w:rPr>
              <w:t>主要副作用</w:t>
            </w:r>
          </w:p>
        </w:tc>
        <w:tc>
          <w:tcPr>
            <w:tcW w:w="8263" w:type="dxa"/>
          </w:tcPr>
          <w:p w:rsidR="00217240" w:rsidRPr="00B57715" w:rsidRDefault="00217240" w:rsidP="00217240">
            <w:pPr>
              <w:widowControl/>
              <w:numPr>
                <w:ilvl w:val="0"/>
                <w:numId w:val="4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可能產生噁心、嘔吐、食慾不振等副作用。</w:t>
            </w:r>
          </w:p>
          <w:p w:rsidR="00217240" w:rsidRPr="00042C2A" w:rsidRDefault="00217240" w:rsidP="00217240">
            <w:pPr>
              <w:widowControl/>
              <w:numPr>
                <w:ilvl w:val="0"/>
                <w:numId w:val="4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當您發生下列少見症狀時，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請停藥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並馬上和醫師聯絡：皮膚發疹、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蕁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痲疹或搔癢、不明原因喉嚨痛發燒或異常之流血或瘀血、異常疲倦或虛弱、皮膚或眼睛變黃、腹瀉、上腹部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脹痛、濁尿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，尿液突然變少等。</w:t>
            </w:r>
          </w:p>
        </w:tc>
      </w:tr>
      <w:tr w:rsidR="00217240" w:rsidRPr="00404141" w:rsidTr="00217240">
        <w:tc>
          <w:tcPr>
            <w:tcW w:w="19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CC"/>
          </w:tcPr>
          <w:p w:rsidR="00217240" w:rsidRPr="00042C2A" w:rsidRDefault="00217240" w:rsidP="00217240">
            <w:pPr>
              <w:widowControl/>
              <w:autoSpaceDE w:val="0"/>
              <w:autoSpaceDN w:val="0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標楷體" w:cs="Arial"/>
              </w:rPr>
              <w:t>用藥須知</w:t>
            </w:r>
          </w:p>
        </w:tc>
        <w:tc>
          <w:tcPr>
            <w:tcW w:w="8263" w:type="dxa"/>
          </w:tcPr>
          <w:p w:rsidR="00217240" w:rsidRPr="00B57715" w:rsidRDefault="00217240" w:rsidP="00217240">
            <w:pPr>
              <w:widowControl/>
              <w:numPr>
                <w:ilvl w:val="0"/>
                <w:numId w:val="5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服藥前告知您的醫師或藥師，您正在服用的藥品，尤其是抗癲癇藥物（如</w:t>
            </w:r>
            <w:proofErr w:type="spellStart"/>
            <w:r w:rsidRPr="00B57715">
              <w:rPr>
                <w:rFonts w:ascii="Arial" w:eastAsia="標楷體" w:hAnsi="Arial" w:cs="Arial"/>
                <w:color w:val="000000"/>
                <w:kern w:val="0"/>
              </w:rPr>
              <w:t>Carbamazepine</w:t>
            </w:r>
            <w:proofErr w:type="spell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、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Phenobarbital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、</w:t>
            </w:r>
            <w:proofErr w:type="spellStart"/>
            <w:r w:rsidRPr="00B57715">
              <w:rPr>
                <w:rFonts w:ascii="Arial" w:eastAsia="標楷體" w:hAnsi="Arial" w:cs="Arial"/>
                <w:color w:val="000000"/>
                <w:kern w:val="0"/>
              </w:rPr>
              <w:t>Phenytoin</w:t>
            </w:r>
            <w:proofErr w:type="spell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）、抗肺結核藥物（如</w:t>
            </w:r>
            <w:proofErr w:type="spellStart"/>
            <w:r w:rsidRPr="00B57715">
              <w:rPr>
                <w:rFonts w:ascii="Arial" w:eastAsia="標楷體" w:hAnsi="Arial" w:cs="Arial"/>
                <w:color w:val="000000"/>
                <w:kern w:val="0"/>
              </w:rPr>
              <w:t>Isoniazide</w:t>
            </w:r>
            <w:proofErr w:type="spell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、</w:t>
            </w:r>
            <w:proofErr w:type="spellStart"/>
            <w:r w:rsidRPr="00B57715">
              <w:rPr>
                <w:rFonts w:ascii="Arial" w:eastAsia="標楷體" w:hAnsi="Arial" w:cs="Arial"/>
                <w:color w:val="000000"/>
                <w:kern w:val="0"/>
              </w:rPr>
              <w:t>Rifampin</w:t>
            </w:r>
            <w:proofErr w:type="spell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）、高尿酸血症治療劑（</w:t>
            </w:r>
            <w:proofErr w:type="spellStart"/>
            <w:r w:rsidRPr="00B57715">
              <w:rPr>
                <w:rFonts w:ascii="Arial" w:eastAsia="標楷體" w:hAnsi="Arial" w:cs="Arial"/>
                <w:color w:val="000000"/>
                <w:kern w:val="0"/>
              </w:rPr>
              <w:t>Sulfinpyrazone</w:t>
            </w:r>
            <w:proofErr w:type="spell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）、維他命等。</w:t>
            </w:r>
          </w:p>
          <w:p w:rsidR="00217240" w:rsidRPr="00B57715" w:rsidRDefault="00217240" w:rsidP="00217240">
            <w:pPr>
              <w:widowControl/>
              <w:numPr>
                <w:ilvl w:val="0"/>
                <w:numId w:val="5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如果您有肝臟疾病、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嚴重腎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功能不良請先告訴您的醫師或藥師。</w:t>
            </w:r>
          </w:p>
          <w:p w:rsidR="00217240" w:rsidRPr="00B57715" w:rsidRDefault="00217240" w:rsidP="00217240">
            <w:pPr>
              <w:widowControl/>
              <w:numPr>
                <w:ilvl w:val="0"/>
                <w:numId w:val="5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如果您每天喝三杯或更多酒精性飲料，詢問您的醫師或藥師您是否適合使用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Acetaminophen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。</w:t>
            </w:r>
          </w:p>
          <w:p w:rsidR="00217240" w:rsidRPr="00B57715" w:rsidRDefault="00217240" w:rsidP="00217240">
            <w:pPr>
              <w:widowControl/>
              <w:numPr>
                <w:ilvl w:val="0"/>
                <w:numId w:val="5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建議您服用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acetaminophen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，小孩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勿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超過五天，成人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勿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超過十天，除非醫師特別交代，因長期服用或大於規定劑量可能造成肝損害。</w:t>
            </w:r>
          </w:p>
          <w:p w:rsidR="00217240" w:rsidRPr="00B57715" w:rsidRDefault="00217240" w:rsidP="00217240">
            <w:pPr>
              <w:widowControl/>
              <w:numPr>
                <w:ilvl w:val="0"/>
                <w:numId w:val="5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小孩在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24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小時內不要使用超過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5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次藥物，除非醫師有特別交代。</w:t>
            </w:r>
          </w:p>
          <w:p w:rsidR="00217240" w:rsidRPr="00042C2A" w:rsidRDefault="00217240" w:rsidP="00217240">
            <w:pPr>
              <w:widowControl/>
              <w:numPr>
                <w:ilvl w:val="0"/>
                <w:numId w:val="5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自行購買感冒藥、止痛藥時，請告訴藥師您正在服用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acetaminophen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。</w:t>
            </w:r>
          </w:p>
        </w:tc>
      </w:tr>
      <w:tr w:rsidR="00217240" w:rsidRPr="00404141" w:rsidTr="00217240">
        <w:trPr>
          <w:trHeight w:val="1434"/>
        </w:trPr>
        <w:tc>
          <w:tcPr>
            <w:tcW w:w="19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CC"/>
          </w:tcPr>
          <w:p w:rsidR="00217240" w:rsidRPr="00042C2A" w:rsidRDefault="00217240" w:rsidP="00217240">
            <w:pPr>
              <w:widowControl/>
              <w:autoSpaceDE w:val="0"/>
              <w:autoSpaceDN w:val="0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標楷體" w:cs="Arial"/>
              </w:rPr>
              <w:t>如何正確用藥</w:t>
            </w:r>
            <w:r w:rsidRPr="00042C2A">
              <w:rPr>
                <w:rFonts w:ascii="Arial" w:eastAsia="標楷體" w:hAnsi="Arial" w:cs="Arial"/>
              </w:rPr>
              <w:tab/>
            </w:r>
          </w:p>
        </w:tc>
        <w:tc>
          <w:tcPr>
            <w:tcW w:w="8263" w:type="dxa"/>
          </w:tcPr>
          <w:p w:rsidR="00217240" w:rsidRPr="00B57715" w:rsidRDefault="00217240" w:rsidP="00217240">
            <w:pPr>
              <w:widowControl/>
              <w:numPr>
                <w:ilvl w:val="0"/>
                <w:numId w:val="6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請確實依照醫師處方的用法與用量服藥。</w:t>
            </w:r>
          </w:p>
          <w:p w:rsidR="00217240" w:rsidRPr="00042C2A" w:rsidRDefault="00217240" w:rsidP="00217240">
            <w:pPr>
              <w:widowControl/>
              <w:numPr>
                <w:ilvl w:val="0"/>
                <w:numId w:val="6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如果您必須按時服用</w:t>
            </w:r>
            <w:r w:rsidRPr="00B57715">
              <w:rPr>
                <w:rFonts w:ascii="Arial" w:eastAsia="標楷體" w:hAnsi="Arial" w:cs="Arial"/>
                <w:color w:val="000000"/>
                <w:kern w:val="0"/>
              </w:rPr>
              <w:t>acetaminophen</w:t>
            </w: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，當忘記服藥時應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立即補吃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。若已經接近下一次服用時間，就不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需補吃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，並於下一次正確的時間服用一次的藥量。請不要服用雙倍的量，以免過量可能發生危險。</w:t>
            </w:r>
          </w:p>
        </w:tc>
      </w:tr>
      <w:tr w:rsidR="00217240" w:rsidRPr="00404141" w:rsidTr="00217240">
        <w:tc>
          <w:tcPr>
            <w:tcW w:w="19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CC"/>
          </w:tcPr>
          <w:p w:rsidR="00217240" w:rsidRPr="00042C2A" w:rsidRDefault="00217240" w:rsidP="00217240">
            <w:pPr>
              <w:widowControl/>
              <w:autoSpaceDE w:val="0"/>
              <w:autoSpaceDN w:val="0"/>
              <w:textAlignment w:val="bottom"/>
              <w:rPr>
                <w:rFonts w:ascii="Arial" w:eastAsia="標楷體" w:hAnsi="Arial" w:cs="Arial"/>
              </w:rPr>
            </w:pPr>
            <w:r w:rsidRPr="00042C2A">
              <w:rPr>
                <w:rFonts w:ascii="Arial" w:eastAsia="標楷體" w:hAnsi="標楷體" w:cs="Arial"/>
              </w:rPr>
              <w:t>如何保存藥品</w:t>
            </w:r>
            <w:r w:rsidRPr="00042C2A">
              <w:rPr>
                <w:rFonts w:ascii="Arial" w:eastAsia="標楷體" w:hAnsi="Arial" w:cs="Arial"/>
              </w:rPr>
              <w:tab/>
            </w:r>
          </w:p>
        </w:tc>
        <w:tc>
          <w:tcPr>
            <w:tcW w:w="8263" w:type="dxa"/>
          </w:tcPr>
          <w:p w:rsidR="00217240" w:rsidRPr="00B57715" w:rsidRDefault="00217240" w:rsidP="00217240">
            <w:pPr>
              <w:widowControl/>
              <w:numPr>
                <w:ilvl w:val="0"/>
                <w:numId w:val="7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請維持藥品原來的包裝，避免放在兒童可以拿到的地方。</w:t>
            </w:r>
          </w:p>
          <w:p w:rsidR="00217240" w:rsidRPr="00042C2A" w:rsidRDefault="00217240" w:rsidP="00217240">
            <w:pPr>
              <w:widowControl/>
              <w:numPr>
                <w:ilvl w:val="0"/>
                <w:numId w:val="7"/>
              </w:numPr>
              <w:rPr>
                <w:rFonts w:ascii="Arial" w:eastAsia="標楷體" w:hAnsi="Arial" w:cs="Arial"/>
                <w:color w:val="000000"/>
                <w:kern w:val="0"/>
              </w:rPr>
            </w:pPr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請在室溫下保存，避免放在潮濕、過熱或陽光直</w:t>
            </w:r>
            <w:proofErr w:type="gramStart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曬</w:t>
            </w:r>
            <w:proofErr w:type="gramEnd"/>
            <w:r w:rsidRPr="00B57715">
              <w:rPr>
                <w:rFonts w:ascii="Arial" w:eastAsia="標楷體" w:hAnsi="標楷體" w:cs="Arial"/>
                <w:color w:val="000000"/>
                <w:kern w:val="0"/>
              </w:rPr>
              <w:t>的環境下。</w:t>
            </w:r>
          </w:p>
        </w:tc>
      </w:tr>
    </w:tbl>
    <w:p w:rsidR="00547C9C" w:rsidRPr="00042C2A" w:rsidRDefault="00042C2A" w:rsidP="00042C2A">
      <w:pPr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 w:hint="eastAsia"/>
          <w:b/>
          <w:sz w:val="40"/>
          <w:szCs w:val="40"/>
        </w:rPr>
        <w:lastRenderedPageBreak/>
        <w:t>二</w:t>
      </w:r>
      <w:r w:rsidR="0020092D" w:rsidRPr="00042C2A">
        <w:rPr>
          <w:rFonts w:ascii="Arial" w:eastAsia="標楷體" w:hAnsi="標楷體" w:cs="Arial"/>
          <w:b/>
          <w:sz w:val="40"/>
          <w:szCs w:val="40"/>
        </w:rPr>
        <w:t>、</w:t>
      </w:r>
      <w:r w:rsidR="0064511B" w:rsidRPr="00042C2A">
        <w:rPr>
          <w:rFonts w:ascii="Arial" w:eastAsia="標楷體" w:hAnsi="標楷體" w:cs="Arial"/>
          <w:b/>
          <w:sz w:val="40"/>
          <w:szCs w:val="40"/>
        </w:rPr>
        <w:t>藥品一級交互作用</w:t>
      </w:r>
      <w:r w:rsidR="0020092D" w:rsidRPr="00042C2A">
        <w:rPr>
          <w:rFonts w:ascii="Arial" w:eastAsia="標楷體" w:hAnsi="標楷體" w:cs="Arial"/>
          <w:b/>
          <w:sz w:val="40"/>
          <w:szCs w:val="40"/>
        </w:rPr>
        <w:t>範例</w:t>
      </w:r>
    </w:p>
    <w:p w:rsidR="0064511B" w:rsidRDefault="0064511B" w:rsidP="00042C2A">
      <w:pPr>
        <w:rPr>
          <w:rFonts w:ascii="Arial" w:eastAsia="標楷體" w:hAnsi="Arial" w:cs="Arial"/>
          <w:b/>
          <w:sz w:val="28"/>
          <w:szCs w:val="28"/>
        </w:rPr>
      </w:pPr>
      <w:r w:rsidRPr="00B87043">
        <w:rPr>
          <w:rFonts w:ascii="Arial" w:eastAsia="標楷體" w:hAnsi="Arial" w:cs="Arial"/>
          <w:b/>
          <w:sz w:val="28"/>
          <w:szCs w:val="28"/>
        </w:rPr>
        <w:t>(</w:t>
      </w:r>
      <w:r w:rsidR="0014342A">
        <w:rPr>
          <w:rFonts w:ascii="Arial" w:eastAsia="標楷體" w:hAnsi="Arial" w:cs="Arial" w:hint="eastAsia"/>
          <w:b/>
          <w:sz w:val="28"/>
          <w:szCs w:val="28"/>
        </w:rPr>
        <w:t>可</w:t>
      </w:r>
      <w:r w:rsidRPr="00B87043">
        <w:rPr>
          <w:rFonts w:ascii="Arial" w:eastAsia="標楷體" w:hAnsi="標楷體" w:cs="Arial"/>
          <w:b/>
          <w:sz w:val="28"/>
          <w:szCs w:val="28"/>
        </w:rPr>
        <w:t>參考</w:t>
      </w:r>
      <w:r w:rsidR="00B87043" w:rsidRPr="00B87043">
        <w:rPr>
          <w:rFonts w:ascii="Arial" w:hAnsi="Arial" w:cs="Arial"/>
          <w:b/>
          <w:sz w:val="28"/>
          <w:szCs w:val="28"/>
        </w:rPr>
        <w:t>Drug Interaction Facts</w:t>
      </w:r>
      <w:r w:rsidR="00B87043" w:rsidRPr="00B870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87043">
        <w:rPr>
          <w:rFonts w:ascii="Arial" w:eastAsia="標楷體" w:hAnsi="Arial" w:cs="Arial"/>
          <w:b/>
          <w:sz w:val="28"/>
          <w:szCs w:val="28"/>
        </w:rPr>
        <w:t>Lexicomp</w:t>
      </w:r>
      <w:proofErr w:type="spellEnd"/>
      <w:r w:rsidR="00B87043" w:rsidRPr="00B87043">
        <w:rPr>
          <w:rFonts w:ascii="Arial" w:eastAsia="標楷體" w:hAnsi="Arial" w:cs="Arial"/>
          <w:b/>
          <w:sz w:val="28"/>
          <w:szCs w:val="28"/>
        </w:rPr>
        <w:t>,</w:t>
      </w:r>
      <w:r w:rsidR="00B87043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proofErr w:type="spellStart"/>
      <w:r w:rsidRPr="00B87043">
        <w:rPr>
          <w:rFonts w:ascii="Arial" w:eastAsia="標楷體" w:hAnsi="Arial" w:cs="Arial"/>
          <w:b/>
          <w:sz w:val="28"/>
          <w:szCs w:val="28"/>
        </w:rPr>
        <w:t>Micromedex</w:t>
      </w:r>
      <w:proofErr w:type="spellEnd"/>
      <w:r w:rsidRPr="00B87043">
        <w:rPr>
          <w:rFonts w:ascii="Arial" w:eastAsia="標楷體" w:hAnsi="Arial" w:cs="Arial"/>
          <w:b/>
          <w:sz w:val="28"/>
          <w:szCs w:val="28"/>
        </w:rPr>
        <w:t>)</w:t>
      </w:r>
    </w:p>
    <w:p w:rsidR="00042C2A" w:rsidRPr="00B87043" w:rsidRDefault="00042C2A" w:rsidP="00042C2A">
      <w:pPr>
        <w:spacing w:line="320" w:lineRule="exact"/>
        <w:rPr>
          <w:rFonts w:ascii="Arial" w:eastAsia="標楷體" w:hAnsi="Arial" w:cs="Arial"/>
          <w:b/>
          <w:sz w:val="28"/>
          <w:szCs w:val="28"/>
        </w:rPr>
      </w:pPr>
      <w:r w:rsidRPr="00042C2A">
        <w:rPr>
          <w:rFonts w:ascii="Arial" w:eastAsia="標楷體" w:cs="Arial" w:hint="eastAsia"/>
          <w:sz w:val="28"/>
        </w:rPr>
        <w:t>請撰寫以下</w:t>
      </w:r>
      <w:r>
        <w:rPr>
          <w:rFonts w:ascii="Arial" w:eastAsia="標楷體" w:cs="Arial" w:hint="eastAsia"/>
          <w:sz w:val="28"/>
        </w:rPr>
        <w:t>交互作用各項目資料</w:t>
      </w:r>
      <w:r w:rsidRPr="00042C2A">
        <w:rPr>
          <w:rFonts w:ascii="Arial" w:eastAsia="標楷體" w:cs="Arial" w:hint="eastAsia"/>
          <w:sz w:val="28"/>
        </w:rPr>
        <w:t>，</w:t>
      </w:r>
      <w:r>
        <w:rPr>
          <w:rFonts w:ascii="Arial" w:eastAsia="標楷體" w:cs="Arial" w:hint="eastAsia"/>
          <w:sz w:val="28"/>
        </w:rPr>
        <w:t>並</w:t>
      </w:r>
      <w:r w:rsidRPr="00042C2A">
        <w:rPr>
          <w:rFonts w:ascii="Arial" w:eastAsia="標楷體" w:cs="Arial"/>
          <w:sz w:val="28"/>
        </w:rPr>
        <w:t>將完成電子檔案直接寄至</w:t>
      </w:r>
      <w:r w:rsidRPr="00042C2A">
        <w:rPr>
          <w:rFonts w:ascii="Arial" w:eastAsia="標楷體" w:hAnsi="Arial" w:cs="Arial"/>
          <w:sz w:val="28"/>
        </w:rPr>
        <w:t xml:space="preserve"> </w:t>
      </w:r>
      <w:hyperlink r:id="rId8" w:history="1">
        <w:r w:rsidRPr="00042C2A">
          <w:rPr>
            <w:rFonts w:ascii="Arial" w:hAnsi="Arial" w:cs="Arial"/>
            <w:color w:val="0000CC"/>
            <w:u w:val="single"/>
          </w:rPr>
          <w:t>tcvghtc.pt@vghtc.gov.tw</w:t>
        </w:r>
      </w:hyperlink>
      <w:r w:rsidRPr="00042C2A">
        <w:rPr>
          <w:rFonts w:ascii="Arial" w:eastAsia="標楷體" w:hAnsi="Arial" w:cs="Arial"/>
          <w:sz w:val="28"/>
        </w:rPr>
        <w:t xml:space="preserve"> </w:t>
      </w:r>
      <w:r w:rsidRPr="00042C2A">
        <w:rPr>
          <w:rFonts w:ascii="Arial" w:eastAsia="標楷體" w:cs="Arial"/>
          <w:sz w:val="28"/>
        </w:rPr>
        <w:t>，撰寫上如有疑問，</w:t>
      </w:r>
      <w:r w:rsidR="00561CD9" w:rsidRPr="005E2778">
        <w:rPr>
          <w:rFonts w:ascii="Arial" w:eastAsia="標楷體" w:cs="Arial"/>
          <w:sz w:val="28"/>
        </w:rPr>
        <w:t>請</w:t>
      </w:r>
      <w:r w:rsidR="00561CD9">
        <w:rPr>
          <w:rFonts w:ascii="Arial" w:eastAsia="標楷體" w:cs="Arial" w:hint="eastAsia"/>
          <w:sz w:val="28"/>
        </w:rPr>
        <w:t>致</w:t>
      </w:r>
      <w:r w:rsidR="00561CD9" w:rsidRPr="005E2778">
        <w:rPr>
          <w:rFonts w:ascii="Arial" w:eastAsia="標楷體" w:cs="Arial"/>
          <w:sz w:val="28"/>
        </w:rPr>
        <w:t>電</w:t>
      </w:r>
      <w:r w:rsidR="00561CD9" w:rsidRPr="005E2778">
        <w:rPr>
          <w:rFonts w:ascii="Arial" w:eastAsia="標楷體" w:hAnsi="Arial" w:cs="Arial"/>
          <w:sz w:val="28"/>
        </w:rPr>
        <w:t>04-23592525</w:t>
      </w:r>
      <w:r w:rsidR="00561CD9" w:rsidRPr="005E2778">
        <w:rPr>
          <w:rFonts w:ascii="Arial" w:eastAsia="標楷體" w:cs="Arial"/>
          <w:sz w:val="28"/>
        </w:rPr>
        <w:t>轉</w:t>
      </w:r>
      <w:r w:rsidR="00561CD9" w:rsidRPr="005E2778">
        <w:rPr>
          <w:rFonts w:ascii="Arial" w:eastAsia="標楷體" w:hAnsi="Arial" w:cs="Arial"/>
          <w:sz w:val="28"/>
        </w:rPr>
        <w:t>46</w:t>
      </w:r>
      <w:r w:rsidR="00561CD9">
        <w:rPr>
          <w:rFonts w:ascii="Arial" w:eastAsia="標楷體" w:hAnsi="Arial" w:cs="Arial" w:hint="eastAsia"/>
          <w:sz w:val="28"/>
        </w:rPr>
        <w:t>39</w:t>
      </w:r>
      <w:r w:rsidR="00561CD9">
        <w:rPr>
          <w:rFonts w:ascii="Arial" w:eastAsia="標楷體" w:cs="Arial" w:hint="eastAsia"/>
          <w:sz w:val="28"/>
        </w:rPr>
        <w:t>廖婕羽藥師</w:t>
      </w:r>
      <w:r w:rsidR="00561CD9" w:rsidRPr="005E2778">
        <w:rPr>
          <w:rFonts w:ascii="Arial" w:eastAsia="標楷體" w:cs="Arial"/>
          <w:sz w:val="28"/>
        </w:rPr>
        <w:t>。</w:t>
      </w:r>
    </w:p>
    <w:p w:rsidR="00042C2A" w:rsidRDefault="00042C2A" w:rsidP="0064511B">
      <w:pPr>
        <w:pStyle w:val="Web"/>
        <w:shd w:val="clear" w:color="auto" w:fill="FFFFFF"/>
        <w:spacing w:before="0" w:beforeAutospacing="0" w:after="0" w:afterAutospacing="0"/>
        <w:rPr>
          <w:rStyle w:val="a7"/>
          <w:rFonts w:ascii="Arial" w:cs="Arial"/>
          <w:color w:val="800080"/>
        </w:rPr>
      </w:pP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87043">
        <w:rPr>
          <w:rStyle w:val="a7"/>
          <w:rFonts w:ascii="Arial" w:cs="Arial"/>
          <w:color w:val="800080"/>
        </w:rPr>
        <w:t>藥名</w:t>
      </w:r>
      <w:r w:rsidRPr="00B87043">
        <w:rPr>
          <w:rFonts w:ascii="Arial" w:cs="Arial"/>
        </w:rPr>
        <w:t>：</w:t>
      </w:r>
      <w:r w:rsidR="00B87043" w:rsidRPr="00B87043">
        <w:rPr>
          <w:rFonts w:ascii="Arial" w:hAnsi="Arial" w:cs="Arial"/>
          <w:color w:val="000000"/>
        </w:rPr>
        <w:t>PHENYTOIN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cs="Arial"/>
          <w:bCs w:val="0"/>
          <w:color w:val="800080"/>
        </w:rPr>
        <w:t>等級</w:t>
      </w:r>
      <w:r w:rsidRPr="00B87043">
        <w:rPr>
          <w:rStyle w:val="a7"/>
          <w:rFonts w:ascii="Arial" w:hAnsi="Arial" w:cs="Arial"/>
          <w:bCs w:val="0"/>
          <w:color w:val="800080"/>
        </w:rPr>
        <w:t>:</w:t>
      </w:r>
      <w:r w:rsidRPr="00B87043">
        <w:rPr>
          <w:rFonts w:ascii="Arial" w:hAnsi="Arial" w:cs="Arial"/>
          <w:color w:val="000000"/>
        </w:rPr>
        <w:t> 1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B87043">
        <w:rPr>
          <w:rStyle w:val="a7"/>
          <w:rFonts w:ascii="Arial" w:hAnsi="Arial" w:cs="Arial"/>
          <w:bCs w:val="0"/>
          <w:color w:val="800080"/>
        </w:rPr>
        <w:t>onset</w:t>
      </w:r>
      <w:proofErr w:type="gramEnd"/>
      <w:r w:rsidRPr="00B87043">
        <w:rPr>
          <w:rStyle w:val="a7"/>
          <w:rFonts w:ascii="Arial" w:hAnsi="Arial" w:cs="Arial"/>
          <w:bCs w:val="0"/>
          <w:color w:val="800080"/>
        </w:rPr>
        <w:t>:</w:t>
      </w:r>
      <w:r w:rsidRPr="00B87043">
        <w:rPr>
          <w:rFonts w:ascii="Arial" w:hAnsi="Arial" w:cs="Arial"/>
          <w:color w:val="000000"/>
        </w:rPr>
        <w:t> Delay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cs="Arial"/>
          <w:bCs w:val="0"/>
          <w:color w:val="800080"/>
        </w:rPr>
        <w:t>嚴重度</w:t>
      </w:r>
      <w:r w:rsidRPr="00B87043">
        <w:rPr>
          <w:rStyle w:val="a7"/>
          <w:rFonts w:ascii="Arial" w:hAnsi="Arial" w:cs="Arial"/>
          <w:bCs w:val="0"/>
          <w:color w:val="800080"/>
        </w:rPr>
        <w:t>:</w:t>
      </w:r>
      <w:r w:rsidRPr="00B87043">
        <w:rPr>
          <w:rFonts w:ascii="Arial" w:hAnsi="Arial" w:cs="Arial"/>
          <w:color w:val="000000"/>
        </w:rPr>
        <w:t> </w:t>
      </w:r>
      <w:r w:rsidRPr="00B87043">
        <w:rPr>
          <w:rFonts w:ascii="Arial" w:hAnsi="Helvetica" w:cs="Arial"/>
          <w:color w:val="000000"/>
        </w:rPr>
        <w:t>嚴重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cs="Arial"/>
          <w:bCs w:val="0"/>
          <w:color w:val="800080"/>
        </w:rPr>
        <w:t>可信度</w:t>
      </w:r>
      <w:r w:rsidRPr="00B87043">
        <w:rPr>
          <w:rStyle w:val="a7"/>
          <w:rFonts w:ascii="Arial" w:hAnsi="Arial" w:cs="Arial"/>
          <w:bCs w:val="0"/>
          <w:color w:val="800080"/>
        </w:rPr>
        <w:t>:</w:t>
      </w:r>
      <w:r w:rsidRPr="00B87043">
        <w:rPr>
          <w:rFonts w:ascii="Arial" w:hAnsi="Arial" w:cs="Arial"/>
          <w:color w:val="000000"/>
        </w:rPr>
        <w:t> Probable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cs="Arial"/>
          <w:bCs w:val="0"/>
          <w:color w:val="800080"/>
        </w:rPr>
        <w:t>會產生一級交互作用藥品</w:t>
      </w:r>
      <w:r w:rsidRPr="00B87043">
        <w:rPr>
          <w:rStyle w:val="a7"/>
          <w:rFonts w:ascii="Arial" w:hAnsi="Arial" w:cs="Arial"/>
          <w:bCs w:val="0"/>
          <w:color w:val="800080"/>
        </w:rPr>
        <w:t>:</w:t>
      </w:r>
      <w:r w:rsidRPr="00B87043">
        <w:rPr>
          <w:rStyle w:val="a7"/>
          <w:rFonts w:ascii="Arial" w:hAnsi="Arial" w:cs="Arial"/>
          <w:color w:val="800080"/>
        </w:rPr>
        <w:t> </w:t>
      </w:r>
      <w:r w:rsidRPr="00B87043">
        <w:rPr>
          <w:rFonts w:ascii="Arial" w:hAnsi="Arial" w:cs="Arial"/>
          <w:color w:val="000000"/>
        </w:rPr>
        <w:br/>
        <w:t>CICLOSPORIN  </w:t>
      </w:r>
      <w:r w:rsidRPr="00B87043">
        <w:rPr>
          <w:rFonts w:ascii="Arial" w:hAnsi="Helvetica" w:cs="Arial"/>
          <w:color w:val="000000"/>
        </w:rPr>
        <w:t>、</w:t>
      </w:r>
      <w:r w:rsidRPr="00B87043">
        <w:rPr>
          <w:rFonts w:ascii="Arial" w:hAnsi="Arial" w:cs="Arial"/>
          <w:color w:val="000000"/>
        </w:rPr>
        <w:t> CICLOSPORINE 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hAnsi="Arial" w:cs="Arial"/>
          <w:bCs w:val="0"/>
          <w:color w:val="800080"/>
        </w:rPr>
        <w:t>Effects</w:t>
      </w:r>
      <w:proofErr w:type="gramStart"/>
      <w:r w:rsidRPr="00B87043">
        <w:rPr>
          <w:rStyle w:val="a7"/>
          <w:rFonts w:ascii="Arial" w:hAnsi="Arial" w:cs="Arial"/>
          <w:bCs w:val="0"/>
          <w:color w:val="800080"/>
        </w:rPr>
        <w:t>:</w:t>
      </w:r>
      <w:proofErr w:type="gramEnd"/>
      <w:r w:rsidRPr="00B87043">
        <w:rPr>
          <w:rFonts w:ascii="Arial" w:hAnsi="Arial" w:cs="Arial"/>
          <w:color w:val="000000"/>
        </w:rPr>
        <w:br/>
        <w:t>CYCLOSPORINE concentrations are decreased by PHENYTOIN, resulting in a decrease in the immunosuppressive activity of CYCLOSPORINE, which may predispose patients to transplant rejection. This appears to occur within 48 hours of PHENYTOIN therapy and abates within 1 week of PHENYTOIN discontinuation.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hAnsi="Arial" w:cs="Arial"/>
          <w:bCs w:val="0"/>
          <w:color w:val="800080"/>
        </w:rPr>
        <w:t>Management</w:t>
      </w:r>
      <w:proofErr w:type="gramStart"/>
      <w:r w:rsidRPr="00B87043">
        <w:rPr>
          <w:rStyle w:val="a7"/>
          <w:rFonts w:ascii="Arial" w:hAnsi="Arial" w:cs="Arial"/>
          <w:bCs w:val="0"/>
          <w:color w:val="800080"/>
        </w:rPr>
        <w:t>:</w:t>
      </w:r>
      <w:proofErr w:type="gramEnd"/>
      <w:r w:rsidRPr="00B87043">
        <w:rPr>
          <w:rFonts w:ascii="Arial" w:hAnsi="Arial" w:cs="Arial"/>
          <w:color w:val="000000"/>
        </w:rPr>
        <w:br/>
        <w:t>Closely monitor CYCLOSPORINE concentrations during concurrent PHENYTOIN administration; tailor CYCLOSPORINE dosage to maintain concentrations in the therapeutic range.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hAnsi="Arial" w:cs="Arial"/>
          <w:bCs w:val="0"/>
          <w:color w:val="800080"/>
        </w:rPr>
        <w:t>Mechanism</w:t>
      </w:r>
      <w:proofErr w:type="gramStart"/>
      <w:r w:rsidRPr="00B87043">
        <w:rPr>
          <w:rStyle w:val="a7"/>
          <w:rFonts w:ascii="Arial" w:hAnsi="Arial" w:cs="Arial"/>
          <w:bCs w:val="0"/>
          <w:color w:val="800080"/>
        </w:rPr>
        <w:t>:</w:t>
      </w:r>
      <w:proofErr w:type="gramEnd"/>
      <w:r w:rsidRPr="00B87043">
        <w:rPr>
          <w:rFonts w:ascii="Arial" w:hAnsi="Arial" w:cs="Arial"/>
          <w:color w:val="000000"/>
        </w:rPr>
        <w:br/>
        <w:t>Possibly decreased CYCLOSPORINE absorption or increased metabolism.</w:t>
      </w:r>
    </w:p>
    <w:p w:rsidR="0064511B" w:rsidRPr="00B87043" w:rsidRDefault="0064511B" w:rsidP="0064511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hAnsi="Arial" w:cs="Arial"/>
          <w:bCs w:val="0"/>
          <w:color w:val="800080"/>
        </w:rPr>
        <w:t>Disc</w:t>
      </w:r>
      <w:r w:rsidR="00FB28A9" w:rsidRPr="00B87043">
        <w:rPr>
          <w:rStyle w:val="a7"/>
          <w:rFonts w:ascii="Arial" w:hAnsi="Arial" w:cs="Arial"/>
          <w:bCs w:val="0"/>
          <w:color w:val="800080"/>
        </w:rPr>
        <w:t>u</w:t>
      </w:r>
      <w:r w:rsidRPr="00B87043">
        <w:rPr>
          <w:rStyle w:val="a7"/>
          <w:rFonts w:ascii="Arial" w:hAnsi="Arial" w:cs="Arial"/>
          <w:bCs w:val="0"/>
          <w:color w:val="800080"/>
        </w:rPr>
        <w:t>ssion:</w:t>
      </w:r>
      <w:r w:rsidRPr="00B87043">
        <w:rPr>
          <w:rFonts w:ascii="Arial" w:hAnsi="Arial" w:cs="Arial"/>
          <w:color w:val="000000"/>
        </w:rPr>
        <w:br/>
        <w:t xml:space="preserve">In a controlled study of six subjects, the mean cyclosporine area under the plasma concentration-time curve (AUC) was reduced </w:t>
      </w:r>
      <w:r w:rsidRPr="00B87043">
        <w:rPr>
          <w:rFonts w:ascii="Arial" w:hAnsi="Helvetica" w:cs="Arial"/>
          <w:color w:val="000000"/>
        </w:rPr>
        <w:t>？</w:t>
      </w:r>
      <w:r w:rsidRPr="00B87043">
        <w:rPr>
          <w:rFonts w:ascii="Arial" w:hAnsi="Arial" w:cs="Arial"/>
          <w:color w:val="000000"/>
        </w:rPr>
        <w:t xml:space="preserve"> 50% after 9 days of </w:t>
      </w:r>
      <w:proofErr w:type="spellStart"/>
      <w:r w:rsidRPr="00B87043">
        <w:rPr>
          <w:rFonts w:ascii="Arial" w:hAnsi="Arial" w:cs="Arial"/>
          <w:color w:val="000000"/>
        </w:rPr>
        <w:t>phenytoin</w:t>
      </w:r>
      <w:proofErr w:type="spellEnd"/>
      <w:r w:rsidRPr="00B87043">
        <w:rPr>
          <w:rFonts w:ascii="Arial" w:hAnsi="Arial" w:cs="Arial"/>
          <w:color w:val="000000"/>
        </w:rPr>
        <w:t xml:space="preserve"> dosing.2 These reductions were observed regardless of the assay (RIA polyclonal or HPLC) or sample matrix (serum or whole blood</w:t>
      </w:r>
      <w:proofErr w:type="gramStart"/>
      <w:r w:rsidRPr="00B87043">
        <w:rPr>
          <w:rFonts w:ascii="Arial" w:hAnsi="Arial" w:cs="Arial"/>
          <w:color w:val="000000"/>
        </w:rPr>
        <w:t>)utilized</w:t>
      </w:r>
      <w:proofErr w:type="gramEnd"/>
      <w:r w:rsidRPr="00B87043">
        <w:rPr>
          <w:rFonts w:ascii="Arial" w:hAnsi="Arial" w:cs="Arial"/>
          <w:color w:val="000000"/>
        </w:rPr>
        <w:t xml:space="preserve">. Similar reductions were also observed in the concentrations of two of the cyclosporine metabolites. Little change was observed in the cyclosporine/metabolite ratios or in the terminal slope following </w:t>
      </w:r>
      <w:proofErr w:type="spellStart"/>
      <w:r w:rsidRPr="00B87043">
        <w:rPr>
          <w:rFonts w:ascii="Arial" w:hAnsi="Arial" w:cs="Arial"/>
          <w:color w:val="000000"/>
        </w:rPr>
        <w:t>phenytoin</w:t>
      </w:r>
      <w:proofErr w:type="spellEnd"/>
      <w:r w:rsidRPr="00B87043">
        <w:rPr>
          <w:rFonts w:ascii="Arial" w:hAnsi="Arial" w:cs="Arial"/>
          <w:color w:val="000000"/>
        </w:rPr>
        <w:t xml:space="preserve"> therapy compared with cyclosporine alone, suggesting that the observed decrease in cyclosporine concentrations with </w:t>
      </w:r>
      <w:proofErr w:type="spellStart"/>
      <w:r w:rsidRPr="00B87043">
        <w:rPr>
          <w:rFonts w:ascii="Arial" w:hAnsi="Arial" w:cs="Arial"/>
          <w:color w:val="000000"/>
        </w:rPr>
        <w:t>phenytoin</w:t>
      </w:r>
      <w:proofErr w:type="spellEnd"/>
      <w:r w:rsidRPr="00B87043">
        <w:rPr>
          <w:rFonts w:ascii="Arial" w:hAnsi="Arial" w:cs="Arial"/>
          <w:color w:val="000000"/>
        </w:rPr>
        <w:t xml:space="preserve"> is most likely the result of a decrease in absorption.4 However, in a separate report, a similar decrease in cyclosporine concentrations was observed in one patient receiving IV cyclosporine.3 A 50% reduction in cyclosporine AUC occurred in five patients following </w:t>
      </w:r>
      <w:proofErr w:type="spellStart"/>
      <w:r w:rsidRPr="00B87043">
        <w:rPr>
          <w:rFonts w:ascii="Arial" w:hAnsi="Arial" w:cs="Arial"/>
          <w:color w:val="000000"/>
        </w:rPr>
        <w:t>phenytoin</w:t>
      </w:r>
      <w:proofErr w:type="spellEnd"/>
      <w:r w:rsidRPr="00B87043">
        <w:rPr>
          <w:rFonts w:ascii="Arial" w:hAnsi="Arial" w:cs="Arial"/>
          <w:color w:val="000000"/>
        </w:rPr>
        <w:t xml:space="preserve"> therapy; the interaction was not present within 72 hours of </w:t>
      </w:r>
      <w:proofErr w:type="spellStart"/>
      <w:r w:rsidRPr="00B87043">
        <w:rPr>
          <w:rFonts w:ascii="Arial" w:hAnsi="Arial" w:cs="Arial"/>
          <w:color w:val="000000"/>
        </w:rPr>
        <w:t>phenytoin</w:t>
      </w:r>
      <w:proofErr w:type="spellEnd"/>
      <w:r w:rsidRPr="00B87043">
        <w:rPr>
          <w:rFonts w:ascii="Arial" w:hAnsi="Arial" w:cs="Arial"/>
          <w:color w:val="000000"/>
        </w:rPr>
        <w:t xml:space="preserve"> discontinuation.1 There was no evidence of graft rejection. It does not appear that separation of the administration times of cyclosporine and </w:t>
      </w:r>
      <w:proofErr w:type="spellStart"/>
      <w:r w:rsidRPr="00B87043">
        <w:rPr>
          <w:rFonts w:ascii="Arial" w:hAnsi="Arial" w:cs="Arial"/>
          <w:color w:val="000000"/>
        </w:rPr>
        <w:t>phenytoin</w:t>
      </w:r>
      <w:proofErr w:type="spellEnd"/>
      <w:r w:rsidRPr="00B87043">
        <w:rPr>
          <w:rFonts w:ascii="Arial" w:hAnsi="Arial" w:cs="Arial"/>
          <w:color w:val="000000"/>
        </w:rPr>
        <w:t xml:space="preserve"> will circumvent this interaction.</w:t>
      </w:r>
    </w:p>
    <w:p w:rsidR="0064511B" w:rsidRPr="00B87043" w:rsidRDefault="0064511B" w:rsidP="004C0912">
      <w:pPr>
        <w:pStyle w:val="Web"/>
        <w:shd w:val="clear" w:color="auto" w:fill="FFFFFF"/>
        <w:spacing w:beforeLines="50" w:beforeAutospacing="0" w:after="0" w:afterAutospacing="0"/>
        <w:rPr>
          <w:rFonts w:ascii="Arial" w:hAnsi="Arial" w:cs="Arial"/>
          <w:color w:val="000000"/>
        </w:rPr>
      </w:pPr>
      <w:r w:rsidRPr="00B87043">
        <w:rPr>
          <w:rStyle w:val="a7"/>
          <w:rFonts w:ascii="Arial" w:hAnsi="Arial" w:cs="Arial"/>
          <w:bCs w:val="0"/>
          <w:color w:val="800080"/>
        </w:rPr>
        <w:t>Ref items:</w:t>
      </w:r>
      <w:r w:rsidR="0014342A" w:rsidRPr="0014342A">
        <w:rPr>
          <w:rFonts w:ascii="Arial" w:eastAsia="標楷體" w:hAnsi="標楷體" w:cs="Arial"/>
          <w:b/>
          <w:sz w:val="28"/>
          <w:szCs w:val="28"/>
        </w:rPr>
        <w:t xml:space="preserve"> </w:t>
      </w:r>
      <w:r w:rsidR="0014342A" w:rsidRPr="0014342A">
        <w:rPr>
          <w:rFonts w:ascii="Arial" w:eastAsia="標楷體" w:hAnsi="標楷體" w:cs="Arial"/>
        </w:rPr>
        <w:t>請註明參考</w:t>
      </w:r>
      <w:r w:rsidRPr="0014342A">
        <w:rPr>
          <w:rFonts w:ascii="Arial" w:hAnsi="Arial" w:cs="Arial"/>
          <w:color w:val="000000"/>
        </w:rPr>
        <w:br/>
      </w:r>
    </w:p>
    <w:p w:rsidR="00402645" w:rsidRPr="00B87043" w:rsidRDefault="0020092D" w:rsidP="0064511B">
      <w:pPr>
        <w:rPr>
          <w:rFonts w:ascii="Arial" w:eastAsia="標楷體" w:hAnsi="Arial" w:cs="Arial"/>
          <w:b/>
          <w:sz w:val="40"/>
          <w:szCs w:val="40"/>
        </w:rPr>
      </w:pPr>
      <w:r w:rsidRPr="00B87043">
        <w:rPr>
          <w:rFonts w:ascii="Arial" w:eastAsia="標楷體" w:hAnsi="Arial" w:cs="Arial"/>
          <w:b/>
        </w:rPr>
        <w:br w:type="page"/>
      </w:r>
      <w:r w:rsidR="00042C2A" w:rsidRPr="00042C2A">
        <w:rPr>
          <w:rFonts w:ascii="Arial" w:eastAsia="標楷體" w:hAnsi="Arial" w:cs="Arial" w:hint="eastAsia"/>
          <w:b/>
          <w:sz w:val="40"/>
          <w:szCs w:val="40"/>
        </w:rPr>
        <w:lastRenderedPageBreak/>
        <w:t>三</w:t>
      </w:r>
      <w:r w:rsidR="00402645" w:rsidRPr="00042C2A">
        <w:rPr>
          <w:rFonts w:ascii="Arial" w:eastAsia="標楷體" w:hAnsi="標楷體" w:cs="Arial"/>
          <w:b/>
          <w:sz w:val="40"/>
          <w:szCs w:val="40"/>
        </w:rPr>
        <w:t>、</w:t>
      </w:r>
      <w:r w:rsidR="00402645" w:rsidRPr="00B87043">
        <w:rPr>
          <w:rFonts w:ascii="Arial" w:eastAsia="標楷體" w:hAnsi="標楷體" w:cs="Arial"/>
          <w:b/>
          <w:sz w:val="40"/>
          <w:szCs w:val="40"/>
        </w:rPr>
        <w:t>藥品照片規格</w:t>
      </w:r>
    </w:p>
    <w:p w:rsidR="00402645" w:rsidRPr="00B87043" w:rsidRDefault="00402645">
      <w:pPr>
        <w:numPr>
          <w:ilvl w:val="0"/>
          <w:numId w:val="2"/>
        </w:numPr>
        <w:spacing w:line="400" w:lineRule="exact"/>
        <w:ind w:left="357" w:hanging="357"/>
        <w:rPr>
          <w:rFonts w:ascii="Arial" w:eastAsia="標楷體" w:hAnsi="Arial" w:cs="Arial"/>
          <w:sz w:val="28"/>
          <w:szCs w:val="28"/>
        </w:rPr>
      </w:pPr>
      <w:r w:rsidRPr="00B87043">
        <w:rPr>
          <w:rFonts w:ascii="Arial" w:eastAsia="標楷體" w:hAnsi="標楷體" w:cs="Arial"/>
          <w:sz w:val="28"/>
          <w:szCs w:val="28"/>
        </w:rPr>
        <w:t>藥品裸錠及外觀不能有陰影，存檔格式：</w:t>
      </w:r>
      <w:r w:rsidRPr="00B87043">
        <w:rPr>
          <w:rFonts w:ascii="Arial" w:eastAsia="標楷體" w:hAnsi="Arial" w:cs="Arial"/>
          <w:b/>
          <w:color w:val="0000FF"/>
          <w:sz w:val="28"/>
          <w:szCs w:val="28"/>
          <w:u w:val="single"/>
        </w:rPr>
        <w:t>*.jpg</w:t>
      </w:r>
      <w:r w:rsidRPr="00B87043">
        <w:rPr>
          <w:rFonts w:ascii="Arial" w:eastAsia="標楷體" w:hAnsi="標楷體" w:cs="Arial"/>
          <w:sz w:val="28"/>
          <w:szCs w:val="28"/>
        </w:rPr>
        <w:t>，</w:t>
      </w:r>
      <w:r w:rsidRPr="00DB0744">
        <w:rPr>
          <w:rFonts w:ascii="Arial" w:eastAsia="標楷體" w:hAnsi="標楷體" w:cs="Arial"/>
          <w:b/>
          <w:color w:val="FF0000"/>
          <w:sz w:val="32"/>
          <w:szCs w:val="32"/>
          <w:highlight w:val="yellow"/>
          <w:u w:val="single"/>
        </w:rPr>
        <w:t>請勿將照片轉貼在</w:t>
      </w:r>
      <w:r w:rsidRPr="00DB0744">
        <w:rPr>
          <w:rFonts w:ascii="Arial" w:eastAsia="標楷體" w:hAnsi="Arial" w:cs="Arial"/>
          <w:b/>
          <w:color w:val="FF0000"/>
          <w:sz w:val="32"/>
          <w:szCs w:val="32"/>
          <w:highlight w:val="yellow"/>
          <w:u w:val="single"/>
        </w:rPr>
        <w:t>WORD</w:t>
      </w:r>
      <w:r w:rsidRPr="00DB0744">
        <w:rPr>
          <w:rFonts w:ascii="Arial" w:eastAsia="標楷體" w:hAnsi="標楷體" w:cs="Arial"/>
          <w:b/>
          <w:color w:val="FF0000"/>
          <w:sz w:val="32"/>
          <w:szCs w:val="32"/>
          <w:highlight w:val="yellow"/>
          <w:u w:val="single"/>
        </w:rPr>
        <w:t>檔</w:t>
      </w:r>
      <w:r w:rsidRPr="00B87043">
        <w:rPr>
          <w:rFonts w:ascii="Arial" w:eastAsia="標楷體" w:hAnsi="標楷體" w:cs="Arial"/>
          <w:sz w:val="28"/>
          <w:szCs w:val="28"/>
        </w:rPr>
        <w:t>。</w:t>
      </w:r>
    </w:p>
    <w:p w:rsidR="00402645" w:rsidRPr="00B87043" w:rsidRDefault="00402645">
      <w:pPr>
        <w:numPr>
          <w:ilvl w:val="0"/>
          <w:numId w:val="2"/>
        </w:numPr>
        <w:spacing w:line="400" w:lineRule="exact"/>
        <w:ind w:left="357" w:hanging="357"/>
        <w:rPr>
          <w:rFonts w:ascii="Arial" w:eastAsia="標楷體" w:hAnsi="Arial" w:cs="Arial"/>
          <w:sz w:val="28"/>
        </w:rPr>
      </w:pPr>
      <w:r w:rsidRPr="00B87043">
        <w:rPr>
          <w:rFonts w:ascii="Arial" w:eastAsia="標楷體" w:cs="Arial"/>
          <w:sz w:val="28"/>
        </w:rPr>
        <w:t>請將完成電子檔案直接寄至</w:t>
      </w:r>
      <w:hyperlink r:id="rId9" w:history="1">
        <w:r w:rsidR="001B1E4A" w:rsidRPr="00B87043">
          <w:rPr>
            <w:rFonts w:ascii="Arial" w:hAnsi="Arial" w:cs="Arial"/>
            <w:color w:val="0000CC"/>
            <w:u w:val="single"/>
          </w:rPr>
          <w:t>tcvghtc.pt@vghtc.gov.tw</w:t>
        </w:r>
      </w:hyperlink>
      <w:r w:rsidRPr="00B87043">
        <w:rPr>
          <w:rFonts w:ascii="Arial" w:eastAsia="標楷體" w:hAnsi="Arial" w:cs="Arial"/>
          <w:sz w:val="28"/>
        </w:rPr>
        <w:t xml:space="preserve"> </w:t>
      </w:r>
      <w:r w:rsidRPr="00B87043">
        <w:rPr>
          <w:rFonts w:ascii="Arial" w:eastAsia="標楷體" w:hAnsi="標楷體" w:cs="Arial"/>
          <w:sz w:val="28"/>
          <w:szCs w:val="28"/>
        </w:rPr>
        <w:t>，照片製作如有疑問，請電</w:t>
      </w:r>
      <w:r w:rsidRPr="00B87043">
        <w:rPr>
          <w:rFonts w:ascii="Arial" w:eastAsia="標楷體" w:hAnsi="Arial" w:cs="Arial"/>
          <w:sz w:val="28"/>
          <w:szCs w:val="28"/>
        </w:rPr>
        <w:t>04-23592525</w:t>
      </w:r>
      <w:r w:rsidRPr="00B87043">
        <w:rPr>
          <w:rFonts w:ascii="Arial" w:eastAsia="標楷體" w:hAnsi="標楷體" w:cs="Arial"/>
          <w:sz w:val="28"/>
          <w:szCs w:val="28"/>
        </w:rPr>
        <w:t>轉</w:t>
      </w:r>
      <w:r w:rsidRPr="00B87043">
        <w:rPr>
          <w:rFonts w:ascii="Arial" w:eastAsia="標楷體" w:hAnsi="Arial" w:cs="Arial"/>
          <w:sz w:val="28"/>
          <w:szCs w:val="28"/>
        </w:rPr>
        <w:t>46</w:t>
      </w:r>
      <w:r w:rsidR="00091D7F" w:rsidRPr="00B87043">
        <w:rPr>
          <w:rFonts w:ascii="Arial" w:eastAsia="標楷體" w:hAnsi="Arial" w:cs="Arial"/>
          <w:sz w:val="28"/>
          <w:szCs w:val="28"/>
        </w:rPr>
        <w:t>40</w:t>
      </w:r>
      <w:proofErr w:type="gramStart"/>
      <w:r w:rsidR="00091D7F" w:rsidRPr="00B87043">
        <w:rPr>
          <w:rFonts w:ascii="Arial" w:eastAsia="標楷體" w:hAnsi="標楷體" w:cs="Arial"/>
          <w:sz w:val="28"/>
          <w:szCs w:val="28"/>
        </w:rPr>
        <w:t>二</w:t>
      </w:r>
      <w:proofErr w:type="gramEnd"/>
      <w:r w:rsidR="00091D7F" w:rsidRPr="00B87043">
        <w:rPr>
          <w:rFonts w:ascii="Arial" w:eastAsia="標楷體" w:hAnsi="標楷體" w:cs="Arial"/>
          <w:sz w:val="28"/>
          <w:szCs w:val="28"/>
        </w:rPr>
        <w:t>醫藥局</w:t>
      </w:r>
      <w:r w:rsidR="009E4A76" w:rsidRPr="00B87043">
        <w:rPr>
          <w:rFonts w:ascii="Arial" w:eastAsia="標楷體" w:cs="Arial"/>
          <w:sz w:val="28"/>
        </w:rPr>
        <w:t>林逸銘</w:t>
      </w:r>
      <w:r w:rsidRPr="00B87043">
        <w:rPr>
          <w:rFonts w:ascii="Arial" w:eastAsia="標楷體" w:hAnsi="標楷體" w:cs="Arial"/>
          <w:sz w:val="28"/>
          <w:szCs w:val="28"/>
        </w:rPr>
        <w:t>藥師</w:t>
      </w:r>
      <w:r w:rsidRPr="00B87043">
        <w:rPr>
          <w:rFonts w:ascii="Arial" w:eastAsia="標楷體" w:cs="Arial"/>
          <w:sz w:val="28"/>
        </w:rPr>
        <w:t>。</w:t>
      </w:r>
    </w:p>
    <w:p w:rsidR="00402645" w:rsidRPr="00B87043" w:rsidRDefault="00BC27DE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sz w:val="32"/>
          <w:szCs w:val="28"/>
          <w:u w:val="doub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76835</wp:posOffset>
            </wp:positionV>
            <wp:extent cx="723265" cy="723265"/>
            <wp:effectExtent l="19050" t="0" r="635" b="0"/>
            <wp:wrapNone/>
            <wp:docPr id="6" name="圖片 2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 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645" w:rsidRPr="00B87043">
        <w:rPr>
          <w:rFonts w:ascii="Arial" w:eastAsia="標楷體" w:hAnsi="標楷體" w:cs="Arial"/>
          <w:b/>
          <w:bCs/>
          <w:sz w:val="32"/>
          <w:szCs w:val="28"/>
          <w:u w:val="double"/>
        </w:rPr>
        <w:t>底色：</w:t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文鼎細圓" w:hAnsi="Arial" w:cs="Arial"/>
          <w:sz w:val="28"/>
          <w:szCs w:val="28"/>
        </w:rPr>
        <w:t>R60</w:t>
      </w:r>
    </w:p>
    <w:p w:rsidR="00402645" w:rsidRPr="00B87043" w:rsidRDefault="00402645">
      <w:pPr>
        <w:pStyle w:val="1"/>
        <w:rPr>
          <w:rFonts w:ascii="Arial" w:hAnsi="Arial" w:cs="Arial"/>
        </w:rPr>
      </w:pPr>
      <w:r w:rsidRPr="00B87043">
        <w:rPr>
          <w:rFonts w:ascii="Arial" w:hAnsi="Arial" w:cs="Arial"/>
        </w:rPr>
        <w:t>G160</w:t>
      </w:r>
    </w:p>
    <w:p w:rsidR="00402645" w:rsidRPr="00B87043" w:rsidRDefault="00402645">
      <w:pPr>
        <w:spacing w:line="400" w:lineRule="exact"/>
        <w:ind w:left="1920" w:firstLine="480"/>
        <w:rPr>
          <w:rFonts w:ascii="Arial" w:eastAsia="文鼎細圓" w:hAnsi="Arial" w:cs="Arial"/>
          <w:sz w:val="28"/>
          <w:szCs w:val="28"/>
        </w:rPr>
      </w:pPr>
      <w:r w:rsidRPr="00B87043">
        <w:rPr>
          <w:rFonts w:ascii="Arial" w:eastAsia="文鼎細圓" w:hAnsi="Arial" w:cs="Arial"/>
          <w:sz w:val="28"/>
          <w:szCs w:val="28"/>
        </w:rPr>
        <w:t>B190</w:t>
      </w:r>
    </w:p>
    <w:p w:rsidR="00402645" w:rsidRPr="00B87043" w:rsidRDefault="00BC27D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sz w:val="32"/>
          <w:szCs w:val="28"/>
          <w:u w:val="doub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76200</wp:posOffset>
            </wp:positionV>
            <wp:extent cx="2881630" cy="1913890"/>
            <wp:effectExtent l="19050" t="0" r="0" b="0"/>
            <wp:wrapNone/>
            <wp:docPr id="5" name="圖片 3" descr="AB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0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645" w:rsidRPr="00B87043">
        <w:rPr>
          <w:rFonts w:ascii="Arial" w:eastAsia="標楷體" w:hAnsi="標楷體" w:cs="Arial"/>
          <w:b/>
          <w:bCs/>
          <w:sz w:val="32"/>
          <w:szCs w:val="28"/>
          <w:u w:val="double"/>
        </w:rPr>
        <w:t>裸錠：</w:t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Arial" w:cs="Arial"/>
          <w:sz w:val="28"/>
          <w:szCs w:val="28"/>
        </w:rPr>
        <w:tab/>
      </w:r>
      <w:r w:rsidR="00402645" w:rsidRPr="00B87043">
        <w:rPr>
          <w:rFonts w:ascii="Arial" w:eastAsia="標楷體" w:hAnsi="標楷體" w:cs="Arial"/>
          <w:sz w:val="28"/>
          <w:szCs w:val="28"/>
        </w:rPr>
        <w:t>檔案大小約</w:t>
      </w:r>
      <w:r w:rsidR="00402645" w:rsidRPr="00B87043">
        <w:rPr>
          <w:rFonts w:ascii="Arial" w:eastAsia="標楷體" w:hAnsi="Arial" w:cs="Arial"/>
          <w:sz w:val="28"/>
          <w:szCs w:val="28"/>
        </w:rPr>
        <w:t>200K</w:t>
      </w:r>
    </w:p>
    <w:p w:rsidR="00402645" w:rsidRPr="00B87043" w:rsidRDefault="00402645">
      <w:pPr>
        <w:rPr>
          <w:rFonts w:ascii="Arial" w:eastAsia="標楷體" w:hAnsi="Arial" w:cs="Arial"/>
          <w:sz w:val="28"/>
          <w:szCs w:val="28"/>
        </w:rPr>
      </w:pP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標楷體" w:cs="Arial"/>
          <w:sz w:val="28"/>
          <w:szCs w:val="28"/>
        </w:rPr>
        <w:t>寬：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m"/>
        </w:smartTagPr>
        <w:r w:rsidRPr="00B87043">
          <w:rPr>
            <w:rFonts w:ascii="Arial" w:eastAsia="標楷體" w:hAnsi="Arial" w:cs="Arial"/>
            <w:sz w:val="28"/>
            <w:szCs w:val="28"/>
          </w:rPr>
          <w:t>8 cm</w:t>
        </w:r>
      </w:smartTag>
      <w:r w:rsidRPr="00B87043">
        <w:rPr>
          <w:rFonts w:ascii="Arial" w:eastAsia="標楷體" w:hAnsi="標楷體" w:cs="Arial"/>
          <w:sz w:val="28"/>
          <w:szCs w:val="28"/>
        </w:rPr>
        <w:t>高：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cm"/>
        </w:smartTagPr>
        <w:r w:rsidRPr="00B87043">
          <w:rPr>
            <w:rFonts w:ascii="Arial" w:eastAsia="標楷體" w:hAnsi="Arial" w:cs="Arial"/>
            <w:sz w:val="28"/>
            <w:szCs w:val="28"/>
          </w:rPr>
          <w:t>6 cm</w:t>
        </w:r>
      </w:smartTag>
    </w:p>
    <w:p w:rsidR="00402645" w:rsidRPr="00B87043" w:rsidRDefault="00402645">
      <w:pPr>
        <w:rPr>
          <w:rFonts w:ascii="Arial" w:eastAsia="標楷體" w:hAnsi="Arial" w:cs="Arial"/>
          <w:sz w:val="28"/>
          <w:szCs w:val="28"/>
        </w:rPr>
      </w:pP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Arial" w:cs="Arial"/>
          <w:sz w:val="28"/>
          <w:szCs w:val="28"/>
        </w:rPr>
        <w:tab/>
      </w:r>
      <w:r w:rsidRPr="00B87043">
        <w:rPr>
          <w:rFonts w:ascii="Arial" w:eastAsia="標楷體" w:hAnsi="標楷體" w:cs="Arial"/>
          <w:sz w:val="28"/>
          <w:szCs w:val="28"/>
        </w:rPr>
        <w:t>解析度：</w:t>
      </w:r>
      <w:proofErr w:type="gramStart"/>
      <w:r w:rsidRPr="00B87043">
        <w:rPr>
          <w:rFonts w:ascii="Arial" w:eastAsia="標楷體" w:hAnsi="Arial" w:cs="Arial"/>
          <w:sz w:val="28"/>
          <w:szCs w:val="28"/>
        </w:rPr>
        <w:t>300 dpi/inch</w:t>
      </w:r>
      <w:proofErr w:type="gramEnd"/>
      <w:r w:rsidRPr="00B87043">
        <w:rPr>
          <w:rFonts w:ascii="Arial" w:eastAsia="標楷體" w:hAnsi="Arial" w:cs="Arial"/>
          <w:sz w:val="28"/>
          <w:szCs w:val="28"/>
        </w:rPr>
        <w:tab/>
      </w:r>
    </w:p>
    <w:p w:rsidR="00402645" w:rsidRPr="00B87043" w:rsidRDefault="00402645">
      <w:pPr>
        <w:ind w:firstLineChars="2075" w:firstLine="5810"/>
        <w:rPr>
          <w:rFonts w:ascii="Arial" w:eastAsia="標楷體" w:hAnsi="Arial" w:cs="Arial"/>
          <w:sz w:val="28"/>
          <w:szCs w:val="28"/>
        </w:rPr>
      </w:pPr>
      <w:r w:rsidRPr="00B87043">
        <w:rPr>
          <w:rFonts w:ascii="Arial" w:eastAsia="標楷體" w:hAnsi="標楷體" w:cs="Arial"/>
          <w:sz w:val="28"/>
          <w:szCs w:val="28"/>
        </w:rPr>
        <w:t>裸錠大小與標尺刻度一樣</w:t>
      </w:r>
    </w:p>
    <w:p w:rsidR="00402645" w:rsidRPr="00B87043" w:rsidRDefault="00402645" w:rsidP="004C0912">
      <w:pPr>
        <w:spacing w:beforeLines="50"/>
        <w:rPr>
          <w:rFonts w:ascii="Arial" w:eastAsia="標楷體" w:hAnsi="Arial" w:cs="Arial"/>
          <w:b/>
          <w:bCs/>
          <w:sz w:val="32"/>
          <w:szCs w:val="28"/>
          <w:u w:val="double"/>
        </w:rPr>
      </w:pPr>
      <w:r w:rsidRPr="00B87043">
        <w:rPr>
          <w:rFonts w:ascii="Arial" w:eastAsia="標楷體" w:hAnsi="標楷體" w:cs="Arial"/>
          <w:b/>
          <w:bCs/>
          <w:sz w:val="32"/>
          <w:szCs w:val="28"/>
          <w:u w:val="double"/>
        </w:rPr>
        <w:t>針劑、瓶裝：</w:t>
      </w:r>
    </w:p>
    <w:p w:rsidR="00402645" w:rsidRPr="00B87043" w:rsidRDefault="00402645">
      <w:pPr>
        <w:spacing w:line="400" w:lineRule="exact"/>
        <w:rPr>
          <w:rFonts w:ascii="Arial" w:eastAsia="標楷體" w:hAnsi="Arial" w:cs="Arial"/>
          <w:sz w:val="28"/>
          <w:szCs w:val="28"/>
        </w:rPr>
      </w:pPr>
      <w:r w:rsidRPr="00B87043">
        <w:rPr>
          <w:rFonts w:ascii="Arial" w:eastAsia="標楷體" w:hAnsi="標楷體" w:cs="Arial"/>
          <w:sz w:val="28"/>
          <w:szCs w:val="28"/>
        </w:rPr>
        <w:t>檔案大小約：</w:t>
      </w:r>
      <w:r w:rsidRPr="00B87043">
        <w:rPr>
          <w:rFonts w:ascii="Arial" w:eastAsia="標楷體" w:hAnsi="Arial" w:cs="Arial"/>
          <w:sz w:val="28"/>
          <w:szCs w:val="28"/>
        </w:rPr>
        <w:t xml:space="preserve">200~500K      </w:t>
      </w:r>
      <w:r w:rsidRPr="00B87043">
        <w:rPr>
          <w:rFonts w:ascii="Arial" w:eastAsia="標楷體" w:hAnsi="標楷體" w:cs="Arial"/>
          <w:sz w:val="28"/>
          <w:szCs w:val="28"/>
        </w:rPr>
        <w:t>解析度：</w:t>
      </w:r>
      <w:proofErr w:type="gramStart"/>
      <w:r w:rsidRPr="00B87043">
        <w:rPr>
          <w:rFonts w:ascii="Arial" w:eastAsia="標楷體" w:hAnsi="Arial" w:cs="Arial"/>
          <w:sz w:val="28"/>
          <w:szCs w:val="28"/>
        </w:rPr>
        <w:t>300 dpi/inch</w:t>
      </w:r>
      <w:proofErr w:type="gramEnd"/>
    </w:p>
    <w:p w:rsidR="00402645" w:rsidRPr="00B87043" w:rsidRDefault="00402645">
      <w:pPr>
        <w:spacing w:line="400" w:lineRule="exact"/>
        <w:rPr>
          <w:rFonts w:ascii="Arial" w:hAnsi="Arial" w:cs="Arial"/>
        </w:rPr>
      </w:pPr>
      <w:r w:rsidRPr="00B87043">
        <w:rPr>
          <w:rFonts w:ascii="Arial" w:eastAsia="標楷體" w:hAnsi="標楷體" w:cs="Arial"/>
          <w:sz w:val="28"/>
          <w:szCs w:val="28"/>
        </w:rPr>
        <w:t>寬：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"/>
        </w:smartTagPr>
        <w:r w:rsidRPr="00B87043">
          <w:rPr>
            <w:rFonts w:ascii="Arial" w:eastAsia="標楷體" w:hAnsi="Arial" w:cs="Arial"/>
            <w:sz w:val="28"/>
            <w:szCs w:val="28"/>
          </w:rPr>
          <w:t>8 c</w:t>
        </w:r>
      </w:smartTag>
      <w:r w:rsidRPr="00B87043">
        <w:rPr>
          <w:rFonts w:ascii="Arial" w:eastAsia="標楷體" w:hAnsi="Arial" w:cs="Arial"/>
          <w:sz w:val="28"/>
          <w:szCs w:val="28"/>
        </w:rPr>
        <w:t>m</w:t>
      </w:r>
      <w:r w:rsidRPr="00B87043">
        <w:rPr>
          <w:rFonts w:ascii="Arial" w:eastAsia="標楷體" w:hAnsi="標楷體" w:cs="Arial"/>
          <w:sz w:val="28"/>
          <w:szCs w:val="28"/>
        </w:rPr>
        <w:t>高：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m"/>
        </w:smartTagPr>
        <w:r w:rsidRPr="00B87043">
          <w:rPr>
            <w:rFonts w:ascii="Arial" w:eastAsia="標楷體" w:hAnsi="Arial" w:cs="Arial"/>
            <w:sz w:val="28"/>
            <w:szCs w:val="28"/>
          </w:rPr>
          <w:t>12 cm</w:t>
        </w:r>
      </w:smartTag>
      <w:r w:rsidRPr="00B87043">
        <w:rPr>
          <w:rFonts w:ascii="Arial" w:eastAsia="標楷體" w:hAnsi="Arial" w:cs="Arial"/>
          <w:sz w:val="28"/>
          <w:szCs w:val="28"/>
        </w:rPr>
        <w:t xml:space="preserve">        </w:t>
      </w:r>
      <w:r w:rsidRPr="00B87043">
        <w:rPr>
          <w:rFonts w:ascii="Arial" w:eastAsia="標楷體" w:hAnsi="標楷體" w:cs="Arial"/>
          <w:sz w:val="28"/>
          <w:szCs w:val="28"/>
        </w:rPr>
        <w:t>藥品</w:t>
      </w:r>
      <w:proofErr w:type="gramStart"/>
      <w:r w:rsidRPr="00B87043">
        <w:rPr>
          <w:rFonts w:ascii="Arial" w:eastAsia="標楷體" w:hAnsi="標楷體" w:cs="Arial"/>
          <w:sz w:val="28"/>
          <w:szCs w:val="28"/>
        </w:rPr>
        <w:t>盡量滿版</w:t>
      </w:r>
      <w:proofErr w:type="gramEnd"/>
      <w:r w:rsidRPr="00B87043">
        <w:rPr>
          <w:rFonts w:ascii="Arial" w:eastAsia="標楷體" w:hAnsi="Arial" w:cs="Arial"/>
          <w:sz w:val="28"/>
          <w:szCs w:val="28"/>
        </w:rPr>
        <w:tab/>
        <w:t xml:space="preserve"> </w:t>
      </w:r>
      <w:r w:rsidRPr="00B87043">
        <w:rPr>
          <w:rFonts w:ascii="Arial" w:eastAsia="標楷體" w:hAnsi="標楷體" w:cs="Arial"/>
          <w:sz w:val="28"/>
          <w:szCs w:val="28"/>
        </w:rPr>
        <w:t>外包裝上字體清楚</w:t>
      </w:r>
      <w:r w:rsidRPr="00B87043">
        <w:rPr>
          <w:rFonts w:ascii="Arial" w:eastAsia="標楷體" w:hAnsi="Arial" w:cs="Arial"/>
          <w:sz w:val="28"/>
          <w:szCs w:val="28"/>
        </w:rPr>
        <w:tab/>
      </w:r>
    </w:p>
    <w:p w:rsidR="00402645" w:rsidRPr="00B87043" w:rsidRDefault="00BC27D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83205" cy="415036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45" w:rsidRPr="00B8704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774950" cy="4150360"/>
            <wp:effectExtent l="19050" t="0" r="6350" b="0"/>
            <wp:docPr id="2" name="圖片 2" descr="BP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1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45" w:rsidRPr="00B87043" w:rsidRDefault="00402645">
      <w:pPr>
        <w:rPr>
          <w:rFonts w:ascii="Arial" w:hAnsi="Arial" w:cs="Arial"/>
        </w:rPr>
      </w:pPr>
      <w:r w:rsidRPr="00B87043">
        <w:rPr>
          <w:rFonts w:ascii="Arial" w:eastAsia="標楷體" w:hAnsi="標楷體" w:cs="Arial"/>
          <w:b/>
          <w:bCs/>
          <w:sz w:val="32"/>
          <w:szCs w:val="28"/>
          <w:u w:val="double"/>
        </w:rPr>
        <w:t>片裝、外盒包裝</w:t>
      </w:r>
    </w:p>
    <w:p w:rsidR="00402645" w:rsidRPr="00B87043" w:rsidRDefault="00402645">
      <w:pPr>
        <w:spacing w:line="400" w:lineRule="exact"/>
        <w:rPr>
          <w:rFonts w:ascii="Arial" w:eastAsia="標楷體" w:hAnsi="Arial" w:cs="Arial"/>
          <w:sz w:val="28"/>
          <w:szCs w:val="28"/>
        </w:rPr>
      </w:pPr>
      <w:r w:rsidRPr="00B87043">
        <w:rPr>
          <w:rFonts w:ascii="Arial" w:eastAsia="標楷體" w:hAnsi="標楷體" w:cs="Arial"/>
          <w:sz w:val="28"/>
          <w:szCs w:val="28"/>
        </w:rPr>
        <w:lastRenderedPageBreak/>
        <w:t>檔案大小約：</w:t>
      </w:r>
      <w:r w:rsidRPr="00B87043">
        <w:rPr>
          <w:rFonts w:ascii="Arial" w:eastAsia="標楷體" w:hAnsi="Arial" w:cs="Arial"/>
          <w:sz w:val="28"/>
          <w:szCs w:val="28"/>
        </w:rPr>
        <w:t xml:space="preserve">200~500K      </w:t>
      </w:r>
      <w:r w:rsidRPr="00B87043">
        <w:rPr>
          <w:rFonts w:ascii="Arial" w:eastAsia="標楷體" w:hAnsi="標楷體" w:cs="Arial"/>
          <w:sz w:val="28"/>
          <w:szCs w:val="28"/>
        </w:rPr>
        <w:t>解析度：</w:t>
      </w:r>
      <w:proofErr w:type="gramStart"/>
      <w:r w:rsidRPr="00B87043">
        <w:rPr>
          <w:rFonts w:ascii="Arial" w:eastAsia="標楷體" w:hAnsi="Arial" w:cs="Arial"/>
          <w:sz w:val="28"/>
          <w:szCs w:val="28"/>
        </w:rPr>
        <w:t>300 dpi/inch</w:t>
      </w:r>
      <w:proofErr w:type="gramEnd"/>
    </w:p>
    <w:p w:rsidR="00402645" w:rsidRPr="00B87043" w:rsidRDefault="00402645">
      <w:pPr>
        <w:spacing w:line="400" w:lineRule="exact"/>
        <w:rPr>
          <w:rFonts w:ascii="Arial" w:hAnsi="Arial" w:cs="Arial"/>
        </w:rPr>
      </w:pPr>
      <w:r w:rsidRPr="00B87043">
        <w:rPr>
          <w:rFonts w:ascii="Arial" w:eastAsia="標楷體" w:hAnsi="標楷體" w:cs="Arial"/>
          <w:sz w:val="28"/>
          <w:szCs w:val="28"/>
        </w:rPr>
        <w:t>寬：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"/>
        </w:smartTagPr>
        <w:r w:rsidRPr="00B87043">
          <w:rPr>
            <w:rFonts w:ascii="Arial" w:eastAsia="標楷體" w:hAnsi="Arial" w:cs="Arial"/>
            <w:sz w:val="28"/>
            <w:szCs w:val="28"/>
          </w:rPr>
          <w:t>8 c</w:t>
        </w:r>
      </w:smartTag>
      <w:r w:rsidRPr="00B87043">
        <w:rPr>
          <w:rFonts w:ascii="Arial" w:eastAsia="標楷體" w:hAnsi="Arial" w:cs="Arial"/>
          <w:sz w:val="28"/>
          <w:szCs w:val="28"/>
        </w:rPr>
        <w:t>m</w:t>
      </w:r>
      <w:r w:rsidRPr="00B87043">
        <w:rPr>
          <w:rFonts w:ascii="Arial" w:eastAsia="標楷體" w:hAnsi="標楷體" w:cs="Arial"/>
          <w:sz w:val="28"/>
          <w:szCs w:val="28"/>
        </w:rPr>
        <w:t>高：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m"/>
        </w:smartTagPr>
        <w:r w:rsidRPr="00B87043">
          <w:rPr>
            <w:rFonts w:ascii="Arial" w:eastAsia="標楷體" w:hAnsi="Arial" w:cs="Arial"/>
            <w:sz w:val="28"/>
            <w:szCs w:val="28"/>
          </w:rPr>
          <w:t>8 cm</w:t>
        </w:r>
      </w:smartTag>
      <w:r w:rsidRPr="00B87043">
        <w:rPr>
          <w:rFonts w:ascii="Arial" w:eastAsia="標楷體" w:hAnsi="Arial" w:cs="Arial"/>
          <w:sz w:val="28"/>
          <w:szCs w:val="28"/>
        </w:rPr>
        <w:t xml:space="preserve">         </w:t>
      </w:r>
      <w:r w:rsidRPr="00B87043">
        <w:rPr>
          <w:rFonts w:ascii="Arial" w:eastAsia="標楷體" w:hAnsi="標楷體" w:cs="Arial"/>
          <w:sz w:val="28"/>
          <w:szCs w:val="28"/>
        </w:rPr>
        <w:t>藥品</w:t>
      </w:r>
      <w:proofErr w:type="gramStart"/>
      <w:r w:rsidRPr="00B87043">
        <w:rPr>
          <w:rFonts w:ascii="Arial" w:eastAsia="標楷體" w:hAnsi="標楷體" w:cs="Arial"/>
          <w:sz w:val="28"/>
          <w:szCs w:val="28"/>
        </w:rPr>
        <w:t>盡量滿版</w:t>
      </w:r>
      <w:proofErr w:type="gramEnd"/>
      <w:r w:rsidRPr="00B87043">
        <w:rPr>
          <w:rFonts w:ascii="Arial" w:eastAsia="標楷體" w:hAnsi="Arial" w:cs="Arial"/>
          <w:sz w:val="28"/>
          <w:szCs w:val="28"/>
        </w:rPr>
        <w:tab/>
        <w:t xml:space="preserve"> </w:t>
      </w:r>
      <w:r w:rsidRPr="00B87043">
        <w:rPr>
          <w:rFonts w:ascii="Arial" w:eastAsia="標楷體" w:hAnsi="標楷體" w:cs="Arial"/>
          <w:sz w:val="28"/>
          <w:szCs w:val="28"/>
        </w:rPr>
        <w:t>外包裝上字體清楚</w:t>
      </w:r>
      <w:r w:rsidRPr="00B87043">
        <w:rPr>
          <w:rFonts w:ascii="Arial" w:eastAsia="標楷體" w:hAnsi="Arial" w:cs="Arial"/>
          <w:sz w:val="28"/>
          <w:szCs w:val="28"/>
        </w:rPr>
        <w:tab/>
      </w:r>
    </w:p>
    <w:p w:rsidR="00402645" w:rsidRPr="00B87043" w:rsidRDefault="00402645">
      <w:pPr>
        <w:rPr>
          <w:rFonts w:ascii="Arial" w:hAnsi="Arial" w:cs="Arial"/>
        </w:rPr>
      </w:pPr>
    </w:p>
    <w:p w:rsidR="00402645" w:rsidRPr="00B87043" w:rsidRDefault="00BC27D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72460" cy="3172460"/>
            <wp:effectExtent l="19050" t="0" r="8890" b="0"/>
            <wp:docPr id="3" name="圖片 3" descr="AP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5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45" w:rsidRPr="00B8704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3188335" cy="3188335"/>
            <wp:effectExtent l="19050" t="0" r="0" b="0"/>
            <wp:docPr id="4" name="圖片 4" descr="BT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45" w:rsidRPr="00B87043" w:rsidRDefault="00402645">
      <w:pPr>
        <w:rPr>
          <w:rFonts w:ascii="Arial" w:hAnsi="Arial" w:cs="Arial"/>
        </w:rPr>
      </w:pPr>
    </w:p>
    <w:p w:rsidR="00402645" w:rsidRPr="00B87043" w:rsidRDefault="00402645">
      <w:pPr>
        <w:rPr>
          <w:rFonts w:ascii="Arial" w:hAnsi="Arial" w:cs="Arial"/>
        </w:rPr>
      </w:pPr>
    </w:p>
    <w:p w:rsidR="00091D7F" w:rsidRPr="00B87043" w:rsidRDefault="00091D7F">
      <w:pPr>
        <w:jc w:val="center"/>
        <w:rPr>
          <w:rFonts w:ascii="Arial" w:eastAsia="標楷體" w:hAnsi="Arial" w:cs="Arial"/>
          <w:sz w:val="32"/>
        </w:rPr>
      </w:pPr>
    </w:p>
    <w:sectPr w:rsidR="00091D7F" w:rsidRPr="00B87043" w:rsidSect="005E2778">
      <w:footerReference w:type="even" r:id="rId16"/>
      <w:footerReference w:type="default" r:id="rId17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55" w:rsidRDefault="00B65155">
      <w:r>
        <w:separator/>
      </w:r>
    </w:p>
  </w:endnote>
  <w:endnote w:type="continuationSeparator" w:id="0">
    <w:p w:rsidR="00B65155" w:rsidRDefault="00B6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CC" w:rsidRDefault="005200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55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55CC" w:rsidRDefault="00A755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CC" w:rsidRDefault="005200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55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4D10">
      <w:rPr>
        <w:rStyle w:val="a4"/>
        <w:noProof/>
      </w:rPr>
      <w:t>4</w:t>
    </w:r>
    <w:r>
      <w:rPr>
        <w:rStyle w:val="a4"/>
      </w:rPr>
      <w:fldChar w:fldCharType="end"/>
    </w:r>
  </w:p>
  <w:p w:rsidR="00A755CC" w:rsidRDefault="00A755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55" w:rsidRDefault="00B65155">
      <w:r>
        <w:separator/>
      </w:r>
    </w:p>
  </w:footnote>
  <w:footnote w:type="continuationSeparator" w:id="0">
    <w:p w:rsidR="00B65155" w:rsidRDefault="00B6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47D"/>
    <w:multiLevelType w:val="multilevel"/>
    <w:tmpl w:val="DA36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869EB"/>
    <w:multiLevelType w:val="multilevel"/>
    <w:tmpl w:val="54C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A351A"/>
    <w:multiLevelType w:val="hybridMultilevel"/>
    <w:tmpl w:val="654481FA"/>
    <w:lvl w:ilvl="0" w:tplc="F4CC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A5415F"/>
    <w:multiLevelType w:val="hybridMultilevel"/>
    <w:tmpl w:val="34341F54"/>
    <w:lvl w:ilvl="0" w:tplc="221A8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771512"/>
    <w:multiLevelType w:val="hybridMultilevel"/>
    <w:tmpl w:val="30D00A62"/>
    <w:lvl w:ilvl="0" w:tplc="1D4C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AF659A"/>
    <w:multiLevelType w:val="multilevel"/>
    <w:tmpl w:val="43F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33888"/>
    <w:multiLevelType w:val="hybridMultilevel"/>
    <w:tmpl w:val="07BAE384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>
    <w:nsid w:val="795A3E2B"/>
    <w:multiLevelType w:val="multilevel"/>
    <w:tmpl w:val="73B0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54"/>
    <w:rsid w:val="00042C2A"/>
    <w:rsid w:val="00060BCA"/>
    <w:rsid w:val="00091D7F"/>
    <w:rsid w:val="000F3549"/>
    <w:rsid w:val="00120075"/>
    <w:rsid w:val="0014342A"/>
    <w:rsid w:val="001637E7"/>
    <w:rsid w:val="001640CF"/>
    <w:rsid w:val="001B1E4A"/>
    <w:rsid w:val="001F4D10"/>
    <w:rsid w:val="0020092D"/>
    <w:rsid w:val="00217240"/>
    <w:rsid w:val="0027401E"/>
    <w:rsid w:val="002A21F5"/>
    <w:rsid w:val="00303E02"/>
    <w:rsid w:val="00306AD0"/>
    <w:rsid w:val="00332D97"/>
    <w:rsid w:val="003B6827"/>
    <w:rsid w:val="003C1650"/>
    <w:rsid w:val="003D1B7C"/>
    <w:rsid w:val="00402645"/>
    <w:rsid w:val="00480AD2"/>
    <w:rsid w:val="0048718B"/>
    <w:rsid w:val="00492478"/>
    <w:rsid w:val="004C0912"/>
    <w:rsid w:val="00515671"/>
    <w:rsid w:val="00520073"/>
    <w:rsid w:val="00547C9C"/>
    <w:rsid w:val="00561CD9"/>
    <w:rsid w:val="00572C2D"/>
    <w:rsid w:val="005B0307"/>
    <w:rsid w:val="005E2778"/>
    <w:rsid w:val="005E6E2F"/>
    <w:rsid w:val="00636C28"/>
    <w:rsid w:val="0064511B"/>
    <w:rsid w:val="00655781"/>
    <w:rsid w:val="0066019D"/>
    <w:rsid w:val="0067109F"/>
    <w:rsid w:val="00697B54"/>
    <w:rsid w:val="007503C7"/>
    <w:rsid w:val="00782A6A"/>
    <w:rsid w:val="0082250C"/>
    <w:rsid w:val="008F35CA"/>
    <w:rsid w:val="00936602"/>
    <w:rsid w:val="00960A78"/>
    <w:rsid w:val="00963A63"/>
    <w:rsid w:val="00996726"/>
    <w:rsid w:val="009A5B65"/>
    <w:rsid w:val="009E4A76"/>
    <w:rsid w:val="00A56ED6"/>
    <w:rsid w:val="00A755CC"/>
    <w:rsid w:val="00AA52E7"/>
    <w:rsid w:val="00AB3C32"/>
    <w:rsid w:val="00AC601C"/>
    <w:rsid w:val="00B3404D"/>
    <w:rsid w:val="00B413F2"/>
    <w:rsid w:val="00B414E2"/>
    <w:rsid w:val="00B65155"/>
    <w:rsid w:val="00B87043"/>
    <w:rsid w:val="00BC27DE"/>
    <w:rsid w:val="00BE3FC0"/>
    <w:rsid w:val="00C25F3D"/>
    <w:rsid w:val="00C335BF"/>
    <w:rsid w:val="00C92D62"/>
    <w:rsid w:val="00D20A44"/>
    <w:rsid w:val="00D27711"/>
    <w:rsid w:val="00D94FE3"/>
    <w:rsid w:val="00DA5F5C"/>
    <w:rsid w:val="00DB0744"/>
    <w:rsid w:val="00E2014D"/>
    <w:rsid w:val="00E45AEB"/>
    <w:rsid w:val="00E47438"/>
    <w:rsid w:val="00E819D0"/>
    <w:rsid w:val="00FB28A9"/>
    <w:rsid w:val="00FB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7401E"/>
    <w:pPr>
      <w:keepNext/>
      <w:spacing w:line="400" w:lineRule="exact"/>
      <w:ind w:left="1920" w:firstLine="480"/>
      <w:outlineLvl w:val="0"/>
    </w:pPr>
    <w:rPr>
      <w:rFonts w:ascii="文鼎細圓" w:eastAsia="文鼎細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7401E"/>
  </w:style>
  <w:style w:type="character" w:styleId="a5">
    <w:name w:val="Hyperlink"/>
    <w:basedOn w:val="a0"/>
    <w:rsid w:val="0027401E"/>
    <w:rPr>
      <w:color w:val="0000FF"/>
      <w:u w:val="single"/>
    </w:rPr>
  </w:style>
  <w:style w:type="character" w:styleId="a6">
    <w:name w:val="FollowedHyperlink"/>
    <w:basedOn w:val="a0"/>
    <w:rsid w:val="0027401E"/>
    <w:rPr>
      <w:color w:val="800080"/>
      <w:u w:val="single"/>
    </w:rPr>
  </w:style>
  <w:style w:type="character" w:styleId="a7">
    <w:name w:val="Strong"/>
    <w:basedOn w:val="a0"/>
    <w:qFormat/>
    <w:rsid w:val="0027401E"/>
    <w:rPr>
      <w:b/>
      <w:bCs/>
    </w:rPr>
  </w:style>
  <w:style w:type="paragraph" w:styleId="a8">
    <w:name w:val="header"/>
    <w:basedOn w:val="a"/>
    <w:rsid w:val="0027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sid w:val="0027401E"/>
    <w:rPr>
      <w:kern w:val="2"/>
    </w:rPr>
  </w:style>
  <w:style w:type="paragraph" w:styleId="Web">
    <w:name w:val="Normal (Web)"/>
    <w:basedOn w:val="a"/>
    <w:uiPriority w:val="99"/>
    <w:unhideWhenUsed/>
    <w:rsid w:val="006451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59"/>
    <w:rsid w:val="00042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2C2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042C2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42C2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63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663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5531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7463">
                          <w:marLeft w:val="100"/>
                          <w:marRight w:val="1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vghtc.pt@vghtc.gov.tw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vghtc.pt@vghtc.gov.tw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cvghtc.pt@vghtc.gov.t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1091</Words>
  <Characters>6222</Characters>
  <Application>Microsoft Office Word</Application>
  <DocSecurity>0</DocSecurity>
  <Lines>51</Lines>
  <Paragraphs>14</Paragraphs>
  <ScaleCrop>false</ScaleCrop>
  <Company>vghtc</Company>
  <LinksUpToDate>false</LinksUpToDate>
  <CharactersWithSpaces>7299</CharactersWithSpaces>
  <SharedDoc>false</SharedDoc>
  <HLinks>
    <vt:vector size="18" baseType="variant"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mailto:tcvghtc.pt@vghtc.gov.tw</vt:lpwstr>
      </vt:variant>
      <vt:variant>
        <vt:lpwstr/>
      </vt:variant>
      <vt:variant>
        <vt:i4>5243000</vt:i4>
      </vt:variant>
      <vt:variant>
        <vt:i4>3</vt:i4>
      </vt:variant>
      <vt:variant>
        <vt:i4>0</vt:i4>
      </vt:variant>
      <vt:variant>
        <vt:i4>5</vt:i4>
      </vt:variant>
      <vt:variant>
        <vt:lpwstr>mailto:tcvghtc.pt@vghtc.gov.tw</vt:lpwstr>
      </vt:variant>
      <vt:variant>
        <vt:lpwstr/>
      </vt:variant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mailto:tcvghtc.pt@vghtc.gov.tw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林逸銘</dc:creator>
  <cp:lastModifiedBy>林逸銘</cp:lastModifiedBy>
  <cp:revision>11</cp:revision>
  <cp:lastPrinted>2017-09-07T03:33:00Z</cp:lastPrinted>
  <dcterms:created xsi:type="dcterms:W3CDTF">2020-08-31T06:07:00Z</dcterms:created>
  <dcterms:modified xsi:type="dcterms:W3CDTF">2020-09-03T01:40:00Z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-1314046635</vt:i4>
  </property>
  <property fmtid="{D5CDD505-2E9C-101B-9397-08002B2CF9AE}" pid="3" name="_EmailSubject">
    <vt:lpwstr>照片及處方集</vt:lpwstr>
  </property>
  <property fmtid="{D5CDD505-2E9C-101B-9397-08002B2CF9AE}" pid="4" name="_AuthorEmail">
    <vt:lpwstr>ncfang@vghtc.gov.tw</vt:lpwstr>
  </property>
  <property fmtid="{D5CDD505-2E9C-101B-9397-08002B2CF9AE}" pid="5" name="_AuthorEmailDisplayName">
    <vt:lpwstr>方乃傳 (台中榮總藥劑部) </vt:lpwstr>
  </property>
  <property fmtid="{D5CDD505-2E9C-101B-9397-08002B2CF9AE}" pid="6" name="_ReviewingToolsShownOnce">
    <vt:lpwstr/>
  </property>
</Properties>
</file>